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695E4A" w14:textId="7C1EF5CC" w:rsidR="009F2A6B" w:rsidRDefault="00297A2B">
      <w:pPr>
        <w:jc w:val="center"/>
        <w:rPr>
          <w:rFonts w:eastAsia="Calibri"/>
        </w:rPr>
      </w:pPr>
      <w:r>
        <w:rPr>
          <w:rFonts w:eastAsia="Calibri"/>
          <w:b/>
        </w:rPr>
        <w:t>DOCKET NO. 54</w:t>
      </w:r>
      <w:r w:rsidR="000832B2">
        <w:rPr>
          <w:rFonts w:eastAsia="Calibri"/>
          <w:b/>
        </w:rPr>
        <w:t>393</w:t>
      </w:r>
    </w:p>
    <w:p w14:paraId="5E531479" w14:textId="77777777" w:rsidR="009F2A6B" w:rsidRDefault="009F2A6B">
      <w:pPr>
        <w:jc w:val="center"/>
        <w:rPr>
          <w:rFonts w:eastAsia="Calibri"/>
        </w:rPr>
      </w:pPr>
    </w:p>
    <w:tbl>
      <w:tblPr>
        <w:tblW w:w="9405" w:type="dxa"/>
        <w:tblInd w:w="-90" w:type="dxa"/>
        <w:tblLayout w:type="fixed"/>
        <w:tblCellMar>
          <w:left w:w="40" w:type="dxa"/>
          <w:right w:w="40" w:type="dxa"/>
        </w:tblCellMar>
        <w:tblLook w:val="04A0" w:firstRow="1" w:lastRow="0" w:firstColumn="1" w:lastColumn="0" w:noHBand="0" w:noVBand="1"/>
      </w:tblPr>
      <w:tblGrid>
        <w:gridCol w:w="4593"/>
        <w:gridCol w:w="537"/>
        <w:gridCol w:w="4275"/>
      </w:tblGrid>
      <w:tr w:rsidR="009F2A6B" w14:paraId="461BF3ED" w14:textId="77777777" w:rsidTr="00111D9B">
        <w:trPr>
          <w:trHeight w:val="1962"/>
        </w:trPr>
        <w:tc>
          <w:tcPr>
            <w:tcW w:w="4593" w:type="dxa"/>
            <w:hideMark/>
          </w:tcPr>
          <w:p w14:paraId="34454CC2" w14:textId="463ECAE1" w:rsidR="009F2A6B" w:rsidRDefault="00297A2B">
            <w:pPr>
              <w:widowControl w:val="0"/>
              <w:tabs>
                <w:tab w:val="clear" w:pos="720"/>
              </w:tabs>
              <w:autoSpaceDE w:val="0"/>
              <w:autoSpaceDN w:val="0"/>
              <w:adjustRightInd w:val="0"/>
              <w:spacing w:line="240" w:lineRule="atLeast"/>
              <w:jc w:val="left"/>
              <w:rPr>
                <w:rFonts w:eastAsia="Times New Roman"/>
                <w:b/>
                <w:iCs/>
                <w:snapToGrid w:val="0"/>
              </w:rPr>
            </w:pPr>
            <w:r>
              <w:rPr>
                <w:rFonts w:eastAsia="Times New Roman"/>
                <w:b/>
                <w:iCs/>
                <w:snapToGrid w:val="0"/>
              </w:rPr>
              <w:t xml:space="preserve">APPLICATION OF CSWR-TEXAS UTILITY OPERATING COMPANY, LLC AND </w:t>
            </w:r>
            <w:r w:rsidR="00EF6450">
              <w:rPr>
                <w:rFonts w:eastAsia="Times New Roman"/>
                <w:b/>
                <w:iCs/>
                <w:snapToGrid w:val="0"/>
              </w:rPr>
              <w:t>INTERMEDIARY SOLUTIONS HOLDING LLC</w:t>
            </w:r>
            <w:r>
              <w:rPr>
                <w:rFonts w:eastAsia="Times New Roman"/>
                <w:b/>
                <w:iCs/>
                <w:snapToGrid w:val="0"/>
              </w:rPr>
              <w:t xml:space="preserve"> FOR THE SALE, TRANSFER, OR MERGER OF FACILITIES AND CERTIFICATE RIGHTS IN </w:t>
            </w:r>
            <w:r w:rsidR="00EE2006">
              <w:rPr>
                <w:rFonts w:eastAsia="Times New Roman"/>
                <w:b/>
                <w:iCs/>
                <w:snapToGrid w:val="0"/>
              </w:rPr>
              <w:t>LUBBOCK</w:t>
            </w:r>
            <w:r>
              <w:rPr>
                <w:rFonts w:eastAsia="Times New Roman"/>
                <w:b/>
                <w:iCs/>
                <w:snapToGrid w:val="0"/>
              </w:rPr>
              <w:t xml:space="preserve"> COUNTY</w:t>
            </w:r>
          </w:p>
        </w:tc>
        <w:tc>
          <w:tcPr>
            <w:tcW w:w="537" w:type="dxa"/>
          </w:tcPr>
          <w:p w14:paraId="619E9068" w14:textId="77777777" w:rsidR="009F2A6B" w:rsidRDefault="00297A2B">
            <w:pPr>
              <w:widowControl w:val="0"/>
              <w:tabs>
                <w:tab w:val="clear" w:pos="720"/>
              </w:tabs>
              <w:autoSpaceDE w:val="0"/>
              <w:autoSpaceDN w:val="0"/>
              <w:adjustRightInd w:val="0"/>
              <w:spacing w:line="240" w:lineRule="atLeast"/>
              <w:ind w:left="108" w:right="108"/>
              <w:rPr>
                <w:rFonts w:eastAsia="Times New Roman"/>
                <w:b/>
                <w:snapToGrid w:val="0"/>
                <w:color w:val="000000"/>
              </w:rPr>
            </w:pPr>
            <w:r>
              <w:rPr>
                <w:rFonts w:eastAsia="Times New Roman"/>
                <w:b/>
                <w:snapToGrid w:val="0"/>
                <w:color w:val="000000"/>
              </w:rPr>
              <w:t>§</w:t>
            </w:r>
          </w:p>
          <w:p w14:paraId="1B16CF22" w14:textId="77777777" w:rsidR="009F2A6B" w:rsidRDefault="00297A2B">
            <w:pPr>
              <w:widowControl w:val="0"/>
              <w:tabs>
                <w:tab w:val="clear" w:pos="720"/>
              </w:tabs>
              <w:autoSpaceDE w:val="0"/>
              <w:autoSpaceDN w:val="0"/>
              <w:adjustRightInd w:val="0"/>
              <w:spacing w:line="240" w:lineRule="atLeast"/>
              <w:ind w:left="108" w:right="108"/>
              <w:rPr>
                <w:rFonts w:eastAsia="Times New Roman"/>
                <w:b/>
                <w:snapToGrid w:val="0"/>
                <w:color w:val="000000"/>
              </w:rPr>
            </w:pPr>
            <w:r>
              <w:rPr>
                <w:rFonts w:eastAsia="Times New Roman"/>
                <w:b/>
                <w:snapToGrid w:val="0"/>
                <w:color w:val="000000"/>
              </w:rPr>
              <w:t>§</w:t>
            </w:r>
          </w:p>
          <w:p w14:paraId="55150DAA" w14:textId="77777777" w:rsidR="009F2A6B" w:rsidRDefault="00297A2B">
            <w:pPr>
              <w:widowControl w:val="0"/>
              <w:tabs>
                <w:tab w:val="clear" w:pos="720"/>
              </w:tabs>
              <w:autoSpaceDE w:val="0"/>
              <w:autoSpaceDN w:val="0"/>
              <w:adjustRightInd w:val="0"/>
              <w:spacing w:line="240" w:lineRule="atLeast"/>
              <w:ind w:left="108" w:right="108"/>
              <w:rPr>
                <w:rFonts w:eastAsia="Times New Roman"/>
                <w:b/>
                <w:snapToGrid w:val="0"/>
                <w:color w:val="000000"/>
              </w:rPr>
            </w:pPr>
            <w:r>
              <w:rPr>
                <w:rFonts w:eastAsia="Times New Roman"/>
                <w:b/>
                <w:snapToGrid w:val="0"/>
                <w:color w:val="000000"/>
              </w:rPr>
              <w:t>§</w:t>
            </w:r>
          </w:p>
          <w:p w14:paraId="23BA0315" w14:textId="77777777" w:rsidR="009F2A6B" w:rsidRDefault="00297A2B">
            <w:pPr>
              <w:widowControl w:val="0"/>
              <w:tabs>
                <w:tab w:val="clear" w:pos="720"/>
              </w:tabs>
              <w:autoSpaceDE w:val="0"/>
              <w:autoSpaceDN w:val="0"/>
              <w:adjustRightInd w:val="0"/>
              <w:spacing w:line="240" w:lineRule="atLeast"/>
              <w:ind w:left="108" w:right="108"/>
              <w:rPr>
                <w:rFonts w:eastAsia="Times New Roman"/>
                <w:b/>
                <w:snapToGrid w:val="0"/>
                <w:color w:val="000000"/>
              </w:rPr>
            </w:pPr>
            <w:r>
              <w:rPr>
                <w:rFonts w:eastAsia="Times New Roman"/>
                <w:b/>
                <w:snapToGrid w:val="0"/>
                <w:color w:val="000000"/>
              </w:rPr>
              <w:t>§</w:t>
            </w:r>
          </w:p>
          <w:p w14:paraId="32150BAE" w14:textId="77777777" w:rsidR="009F2A6B" w:rsidRDefault="00297A2B">
            <w:pPr>
              <w:widowControl w:val="0"/>
              <w:tabs>
                <w:tab w:val="clear" w:pos="720"/>
              </w:tabs>
              <w:autoSpaceDE w:val="0"/>
              <w:autoSpaceDN w:val="0"/>
              <w:adjustRightInd w:val="0"/>
              <w:spacing w:line="240" w:lineRule="atLeast"/>
              <w:ind w:left="108" w:right="108"/>
              <w:rPr>
                <w:rFonts w:eastAsia="Times New Roman"/>
                <w:b/>
                <w:snapToGrid w:val="0"/>
                <w:color w:val="000000"/>
              </w:rPr>
            </w:pPr>
            <w:r>
              <w:rPr>
                <w:rFonts w:eastAsia="Times New Roman"/>
                <w:b/>
                <w:snapToGrid w:val="0"/>
                <w:color w:val="000000"/>
              </w:rPr>
              <w:t>§</w:t>
            </w:r>
          </w:p>
          <w:p w14:paraId="6C6DDDE3" w14:textId="77777777" w:rsidR="009F2A6B" w:rsidRDefault="00297A2B">
            <w:pPr>
              <w:widowControl w:val="0"/>
              <w:tabs>
                <w:tab w:val="clear" w:pos="720"/>
              </w:tabs>
              <w:autoSpaceDE w:val="0"/>
              <w:autoSpaceDN w:val="0"/>
              <w:adjustRightInd w:val="0"/>
              <w:spacing w:line="240" w:lineRule="atLeast"/>
              <w:ind w:left="108" w:right="108"/>
              <w:rPr>
                <w:rFonts w:eastAsia="Times New Roman"/>
                <w:b/>
                <w:snapToGrid w:val="0"/>
                <w:color w:val="000000"/>
              </w:rPr>
            </w:pPr>
            <w:r>
              <w:rPr>
                <w:rFonts w:eastAsia="Times New Roman"/>
                <w:b/>
                <w:snapToGrid w:val="0"/>
                <w:color w:val="000000"/>
              </w:rPr>
              <w:t>§</w:t>
            </w:r>
          </w:p>
          <w:p w14:paraId="4DE638D6" w14:textId="77777777" w:rsidR="009F2A6B" w:rsidRDefault="00297A2B">
            <w:pPr>
              <w:widowControl w:val="0"/>
              <w:tabs>
                <w:tab w:val="clear" w:pos="720"/>
              </w:tabs>
              <w:autoSpaceDE w:val="0"/>
              <w:autoSpaceDN w:val="0"/>
              <w:adjustRightInd w:val="0"/>
              <w:spacing w:line="240" w:lineRule="atLeast"/>
              <w:ind w:left="108" w:right="108"/>
              <w:rPr>
                <w:rFonts w:eastAsia="Times New Roman"/>
                <w:b/>
                <w:snapToGrid w:val="0"/>
                <w:color w:val="000000"/>
              </w:rPr>
            </w:pPr>
            <w:r>
              <w:rPr>
                <w:rFonts w:eastAsia="Times New Roman"/>
                <w:b/>
                <w:snapToGrid w:val="0"/>
                <w:color w:val="000000"/>
              </w:rPr>
              <w:t>§</w:t>
            </w:r>
          </w:p>
        </w:tc>
        <w:tc>
          <w:tcPr>
            <w:tcW w:w="4275" w:type="dxa"/>
            <w:vAlign w:val="center"/>
          </w:tcPr>
          <w:p w14:paraId="141F4ED3" w14:textId="77777777" w:rsidR="009F2A6B" w:rsidRDefault="00297A2B" w:rsidP="003D0E08">
            <w:pPr>
              <w:widowControl w:val="0"/>
              <w:tabs>
                <w:tab w:val="clear" w:pos="720"/>
              </w:tabs>
              <w:autoSpaceDE w:val="0"/>
              <w:autoSpaceDN w:val="0"/>
              <w:adjustRightInd w:val="0"/>
              <w:spacing w:line="240" w:lineRule="atLeast"/>
              <w:ind w:right="108"/>
              <w:jc w:val="center"/>
              <w:rPr>
                <w:rFonts w:eastAsia="Times New Roman"/>
                <w:b/>
                <w:snapToGrid w:val="0"/>
                <w:color w:val="000000"/>
              </w:rPr>
            </w:pPr>
            <w:r>
              <w:rPr>
                <w:rFonts w:eastAsia="Times New Roman"/>
                <w:b/>
                <w:snapToGrid w:val="0"/>
                <w:color w:val="000000"/>
              </w:rPr>
              <w:t>PUBLIC UTILITY COMMISSION</w:t>
            </w:r>
          </w:p>
          <w:p w14:paraId="101FA968" w14:textId="77777777" w:rsidR="009F2A6B" w:rsidRDefault="009F2A6B" w:rsidP="003D0E08">
            <w:pPr>
              <w:widowControl w:val="0"/>
              <w:tabs>
                <w:tab w:val="clear" w:pos="720"/>
              </w:tabs>
              <w:autoSpaceDE w:val="0"/>
              <w:autoSpaceDN w:val="0"/>
              <w:adjustRightInd w:val="0"/>
              <w:spacing w:line="240" w:lineRule="atLeast"/>
              <w:ind w:right="108"/>
              <w:jc w:val="center"/>
              <w:rPr>
                <w:rFonts w:eastAsia="Times New Roman"/>
                <w:b/>
                <w:snapToGrid w:val="0"/>
                <w:color w:val="000000"/>
              </w:rPr>
            </w:pPr>
          </w:p>
          <w:p w14:paraId="29B2A977" w14:textId="77777777" w:rsidR="009F2A6B" w:rsidRDefault="00297A2B" w:rsidP="003D0E08">
            <w:pPr>
              <w:widowControl w:val="0"/>
              <w:tabs>
                <w:tab w:val="clear" w:pos="720"/>
              </w:tabs>
              <w:autoSpaceDE w:val="0"/>
              <w:autoSpaceDN w:val="0"/>
              <w:adjustRightInd w:val="0"/>
              <w:spacing w:line="240" w:lineRule="atLeast"/>
              <w:ind w:right="108"/>
              <w:jc w:val="center"/>
              <w:rPr>
                <w:rFonts w:eastAsia="Times New Roman"/>
                <w:b/>
                <w:snapToGrid w:val="0"/>
                <w:color w:val="000000"/>
              </w:rPr>
            </w:pPr>
            <w:r>
              <w:rPr>
                <w:rFonts w:eastAsia="Times New Roman"/>
                <w:b/>
                <w:snapToGrid w:val="0"/>
                <w:color w:val="000000"/>
              </w:rPr>
              <w:t>OF TEXAS</w:t>
            </w:r>
          </w:p>
        </w:tc>
      </w:tr>
    </w:tbl>
    <w:p w14:paraId="242025EA" w14:textId="77777777" w:rsidR="009F2A6B" w:rsidRDefault="00297A2B" w:rsidP="00DF6A15">
      <w:pPr>
        <w:spacing w:before="360" w:after="360"/>
        <w:jc w:val="center"/>
        <w:rPr>
          <w:b/>
          <w:bCs/>
          <w:u w:val="single"/>
        </w:rPr>
      </w:pPr>
      <w:r>
        <w:rPr>
          <w:b/>
          <w:bCs/>
          <w:u w:val="single"/>
        </w:rPr>
        <w:t>PROPOSED ORDER APPROVING SALE AND TRANSFER TO PROCEED</w:t>
      </w:r>
    </w:p>
    <w:p w14:paraId="005B48F8" w14:textId="4F39F293" w:rsidR="009F2A6B" w:rsidRDefault="00297A2B">
      <w:pPr>
        <w:pStyle w:val="BodyText"/>
        <w:spacing w:after="0"/>
        <w:rPr>
          <w:b/>
          <w:bCs/>
        </w:rPr>
      </w:pPr>
      <w:r>
        <w:tab/>
        <w:t xml:space="preserve">This Order addresses the application of </w:t>
      </w:r>
      <w:bookmarkStart w:id="0" w:name="_Hlk78808364"/>
      <w:r w:rsidR="006D33B0">
        <w:t xml:space="preserve">Intermediary Solutions Holding LLC </w:t>
      </w:r>
      <w:r>
        <w:t>(</w:t>
      </w:r>
      <w:bookmarkEnd w:id="0"/>
      <w:r w:rsidR="00111D9B">
        <w:t>“</w:t>
      </w:r>
      <w:r w:rsidR="006D33B0">
        <w:rPr>
          <w:snapToGrid w:val="0"/>
          <w:lang w:eastAsia="zh-TW"/>
        </w:rPr>
        <w:t>Intermediary Solutions</w:t>
      </w:r>
      <w:r w:rsidR="00111D9B">
        <w:rPr>
          <w:snapToGrid w:val="0"/>
          <w:lang w:eastAsia="zh-TW"/>
        </w:rPr>
        <w:t>”</w:t>
      </w:r>
      <w:r>
        <w:rPr>
          <w:snapToGrid w:val="0"/>
          <w:lang w:eastAsia="zh-TW"/>
        </w:rPr>
        <w:t xml:space="preserve">) </w:t>
      </w:r>
      <w:r>
        <w:t xml:space="preserve">and </w:t>
      </w:r>
      <w:bookmarkStart w:id="1" w:name="_Hlk56611236"/>
      <w:r>
        <w:t xml:space="preserve">CSWR-Texas Utility Operating Company, LLC </w:t>
      </w:r>
      <w:bookmarkEnd w:id="1"/>
      <w:r>
        <w:t>(</w:t>
      </w:r>
      <w:r w:rsidR="00111D9B">
        <w:t>“</w:t>
      </w:r>
      <w:r>
        <w:t>CSWR-Texas</w:t>
      </w:r>
      <w:r w:rsidR="00111D9B">
        <w:t>”</w:t>
      </w:r>
      <w:r>
        <w:t xml:space="preserve">) for the sale, transfer, or merger of facilities in </w:t>
      </w:r>
      <w:r w:rsidR="0085120D">
        <w:t>Lubbo</w:t>
      </w:r>
      <w:r w:rsidR="0072587F">
        <w:t>ck</w:t>
      </w:r>
      <w:r>
        <w:t xml:space="preserve"> County.  CSWR-Texas seeks approval of the sale and transfer of all facilities and service area held under </w:t>
      </w:r>
      <w:r w:rsidR="0085120D">
        <w:rPr>
          <w:snapToGrid w:val="0"/>
          <w:lang w:eastAsia="zh-TW"/>
        </w:rPr>
        <w:t xml:space="preserve">Intermediary </w:t>
      </w:r>
      <w:r w:rsidR="007E4B6A">
        <w:rPr>
          <w:snapToGrid w:val="0"/>
          <w:lang w:eastAsia="zh-TW"/>
        </w:rPr>
        <w:t>Solutions’</w:t>
      </w:r>
      <w:r>
        <w:t xml:space="preserve"> water certificate of convenience and necessity (</w:t>
      </w:r>
      <w:r w:rsidR="00111D9B">
        <w:t>“</w:t>
      </w:r>
      <w:r>
        <w:t>CCN</w:t>
      </w:r>
      <w:r w:rsidR="00111D9B">
        <w:t>”</w:t>
      </w:r>
      <w:r>
        <w:t xml:space="preserve">) number </w:t>
      </w:r>
      <w:r w:rsidR="007E4B6A">
        <w:t>12179</w:t>
      </w:r>
      <w:r>
        <w:t xml:space="preserve"> and to CSWR-Texas</w:t>
      </w:r>
      <w:r w:rsidR="00111D9B">
        <w:t>,</w:t>
      </w:r>
      <w:r>
        <w:t xml:space="preserve"> the cancellation of </w:t>
      </w:r>
      <w:r w:rsidR="007E4B6A">
        <w:rPr>
          <w:snapToGrid w:val="0"/>
          <w:lang w:eastAsia="zh-TW"/>
        </w:rPr>
        <w:t>Intermediary</w:t>
      </w:r>
      <w:r>
        <w:rPr>
          <w:snapToGrid w:val="0"/>
          <w:lang w:eastAsia="zh-TW"/>
        </w:rPr>
        <w:t xml:space="preserve"> </w:t>
      </w:r>
      <w:r w:rsidR="009A07FE">
        <w:rPr>
          <w:snapToGrid w:val="0"/>
          <w:lang w:eastAsia="zh-TW"/>
        </w:rPr>
        <w:t>Solutions’</w:t>
      </w:r>
      <w:r>
        <w:t xml:space="preserve"> water CCN number </w:t>
      </w:r>
      <w:r w:rsidR="001412CA">
        <w:t>12179</w:t>
      </w:r>
      <w:r>
        <w:t xml:space="preserve">, and the amendment of CSWR-Texas’s water CCN number 13290 to include the area previously included in </w:t>
      </w:r>
      <w:r w:rsidR="00C27F7F">
        <w:rPr>
          <w:snapToGrid w:val="0"/>
          <w:lang w:eastAsia="zh-TW"/>
        </w:rPr>
        <w:t>Intermediary Solutions’</w:t>
      </w:r>
      <w:r>
        <w:t xml:space="preserve"> water CCN number </w:t>
      </w:r>
      <w:r w:rsidR="00870020">
        <w:t>12179</w:t>
      </w:r>
      <w:r w:rsidR="00B0383A">
        <w:t xml:space="preserve"> as well as 8.5 acres of </w:t>
      </w:r>
      <w:r w:rsidR="006568EE">
        <w:t>uncertificated</w:t>
      </w:r>
      <w:r w:rsidR="00B0383A">
        <w:t xml:space="preserve"> area.</w:t>
      </w:r>
      <w:r w:rsidR="00111D9B">
        <w:t xml:space="preserve"> </w:t>
      </w:r>
      <w:r w:rsidR="00B0383A">
        <w:t xml:space="preserve"> </w:t>
      </w:r>
      <w:r>
        <w:t>The administrative law judge (</w:t>
      </w:r>
      <w:r w:rsidR="00111D9B">
        <w:t>“</w:t>
      </w:r>
      <w:r>
        <w:t>ALJ</w:t>
      </w:r>
      <w:r w:rsidR="00111D9B">
        <w:t>”</w:t>
      </w:r>
      <w:r>
        <w:t xml:space="preserve">) grants that the sale is approved and the transaction between </w:t>
      </w:r>
      <w:r>
        <w:rPr>
          <w:snapToGrid w:val="0"/>
          <w:lang w:eastAsia="zh-TW"/>
        </w:rPr>
        <w:t xml:space="preserve">CSWR-Texas and </w:t>
      </w:r>
      <w:r w:rsidR="00474A82">
        <w:rPr>
          <w:snapToGrid w:val="0"/>
          <w:lang w:eastAsia="zh-TW"/>
        </w:rPr>
        <w:t>Intermediary Solutions</w:t>
      </w:r>
      <w:r>
        <w:t xml:space="preserve"> may proceed and be consummated</w:t>
      </w:r>
      <w:r>
        <w:rPr>
          <w:snapToGrid w:val="0"/>
          <w:lang w:eastAsia="zh-TW"/>
        </w:rPr>
        <w:t>.</w:t>
      </w:r>
    </w:p>
    <w:p w14:paraId="490B0618" w14:textId="77777777" w:rsidR="009F2A6B" w:rsidRDefault="00297A2B" w:rsidP="00DF6A15">
      <w:pPr>
        <w:pStyle w:val="BodyText"/>
        <w:numPr>
          <w:ilvl w:val="0"/>
          <w:numId w:val="4"/>
        </w:numPr>
        <w:tabs>
          <w:tab w:val="clear" w:pos="720"/>
        </w:tabs>
        <w:spacing w:before="120"/>
        <w:ind w:left="720" w:right="130"/>
        <w:jc w:val="center"/>
        <w:rPr>
          <w:b/>
          <w:bCs/>
          <w:snapToGrid w:val="0"/>
          <w:lang w:eastAsia="zh-TW"/>
        </w:rPr>
      </w:pPr>
      <w:r>
        <w:rPr>
          <w:b/>
          <w:bCs/>
          <w:snapToGrid w:val="0"/>
          <w:lang w:eastAsia="zh-TW"/>
        </w:rPr>
        <w:t>Findings of Fact</w:t>
      </w:r>
    </w:p>
    <w:p w14:paraId="46F5A2CF" w14:textId="77777777" w:rsidR="009F2A6B" w:rsidRDefault="00297A2B">
      <w:pPr>
        <w:pStyle w:val="BodyText"/>
        <w:tabs>
          <w:tab w:val="clear" w:pos="720"/>
        </w:tabs>
        <w:spacing w:after="0"/>
        <w:ind w:left="720" w:right="130"/>
        <w:rPr>
          <w:snapToGrid w:val="0"/>
          <w:lang w:eastAsia="zh-TW"/>
        </w:rPr>
      </w:pPr>
      <w:r>
        <w:rPr>
          <w:snapToGrid w:val="0"/>
          <w:lang w:eastAsia="zh-TW"/>
        </w:rPr>
        <w:t>The Commission makes the following findings of fact:</w:t>
      </w:r>
    </w:p>
    <w:p w14:paraId="5873AA20" w14:textId="77777777" w:rsidR="009F2A6B" w:rsidRDefault="00297A2B">
      <w:pPr>
        <w:pStyle w:val="BodyText"/>
        <w:tabs>
          <w:tab w:val="clear" w:pos="720"/>
        </w:tabs>
        <w:spacing w:after="240" w:line="240" w:lineRule="auto"/>
        <w:ind w:right="130"/>
        <w:rPr>
          <w:snapToGrid w:val="0"/>
          <w:u w:val="single"/>
          <w:lang w:eastAsia="zh-TW"/>
        </w:rPr>
      </w:pPr>
      <w:r>
        <w:rPr>
          <w:b/>
          <w:bCs/>
          <w:i/>
          <w:iCs/>
          <w:snapToGrid w:val="0"/>
          <w:u w:val="single"/>
          <w:lang w:eastAsia="zh-TW"/>
        </w:rPr>
        <w:t>Applicants</w:t>
      </w:r>
    </w:p>
    <w:p w14:paraId="6852800A" w14:textId="7B4D11DC" w:rsidR="009F2A6B" w:rsidRDefault="00BA22AD">
      <w:pPr>
        <w:pStyle w:val="FoFs"/>
      </w:pPr>
      <w:r>
        <w:rPr>
          <w:lang w:eastAsia="zh-TW"/>
        </w:rPr>
        <w:t>Intermediary Solutions</w:t>
      </w:r>
      <w:r w:rsidR="00297A2B">
        <w:t xml:space="preserve"> is an investor-owned utility that operates, maintains, and controls facilities for providing water service in </w:t>
      </w:r>
      <w:r>
        <w:t>Lubbock</w:t>
      </w:r>
      <w:r w:rsidR="00297A2B">
        <w:t xml:space="preserve"> County under water CCN number </w:t>
      </w:r>
      <w:r>
        <w:rPr>
          <w:lang w:eastAsia="zh-TW"/>
        </w:rPr>
        <w:t>12179</w:t>
      </w:r>
      <w:r w:rsidR="00297A2B">
        <w:rPr>
          <w:lang w:eastAsia="zh-TW"/>
        </w:rPr>
        <w:t>.</w:t>
      </w:r>
    </w:p>
    <w:p w14:paraId="4006E77C" w14:textId="1466C2C6" w:rsidR="009F2A6B" w:rsidRDefault="00093A65">
      <w:pPr>
        <w:pStyle w:val="FoFs"/>
      </w:pPr>
      <w:r>
        <w:rPr>
          <w:lang w:eastAsia="zh-TW"/>
        </w:rPr>
        <w:t>Intermediary Solutions</w:t>
      </w:r>
      <w:r w:rsidR="00297A2B">
        <w:rPr>
          <w:lang w:eastAsia="zh-TW"/>
        </w:rPr>
        <w:t xml:space="preserve"> </w:t>
      </w:r>
      <w:r w:rsidR="00297A2B">
        <w:t>owns and operates a public water system registered with the Texas Commission on Environmental Quality (</w:t>
      </w:r>
      <w:r w:rsidR="00111D9B">
        <w:t>“</w:t>
      </w:r>
      <w:r w:rsidR="00297A2B">
        <w:t>TCEQ</w:t>
      </w:r>
      <w:r w:rsidR="00111D9B">
        <w:t>”</w:t>
      </w:r>
      <w:r w:rsidR="00297A2B">
        <w:t xml:space="preserve">) as </w:t>
      </w:r>
      <w:r>
        <w:t>North University Estates</w:t>
      </w:r>
      <w:r w:rsidR="00297A2B">
        <w:t xml:space="preserve">, public water system number </w:t>
      </w:r>
      <w:r>
        <w:t>1520159</w:t>
      </w:r>
      <w:r w:rsidR="00297A2B">
        <w:t>.</w:t>
      </w:r>
    </w:p>
    <w:p w14:paraId="5579FB6E" w14:textId="77777777" w:rsidR="009F2A6B" w:rsidRDefault="00297A2B">
      <w:pPr>
        <w:pStyle w:val="FoFs"/>
      </w:pPr>
      <w:r>
        <w:t>CSWR-Texas is a Texas limited liability company registered with the Texas secretary of state under file number 0803367893.</w:t>
      </w:r>
    </w:p>
    <w:p w14:paraId="43AF98E1" w14:textId="5A37D67A" w:rsidR="009F2A6B" w:rsidRDefault="00297A2B">
      <w:pPr>
        <w:pStyle w:val="FoFs"/>
      </w:pPr>
      <w:r>
        <w:lastRenderedPageBreak/>
        <w:t>CSWR-Texas is an investor-owned utility that operates, maintains, and controls facilities for providing water service in Angelina, Aransas, Austin,</w:t>
      </w:r>
      <w:r w:rsidR="00CB4D7A">
        <w:t xml:space="preserve"> </w:t>
      </w:r>
      <w:r>
        <w:t xml:space="preserve">Burleson, Burnet, Calhoun, Camp, Denton, Ellis, Erath, Guadalupe, Harris, Hays, Hidalgo, Hood, Jackson, Kerr, </w:t>
      </w:r>
      <w:r w:rsidRPr="00FB1101">
        <w:t>Limestone,</w:t>
      </w:r>
      <w:r>
        <w:t xml:space="preserve"> Llano, Lubbock, McCulloch, Montague, Montgomery, Navarro, Orange, Parker, Polk, Robertson</w:t>
      </w:r>
      <w:r w:rsidRPr="00081780">
        <w:t>, Victoria</w:t>
      </w:r>
      <w:r>
        <w:t>, Wilson, and Wood counties under CCN number 13290.</w:t>
      </w:r>
    </w:p>
    <w:p w14:paraId="17590588" w14:textId="77777777" w:rsidR="009F2A6B" w:rsidRDefault="00297A2B">
      <w:pPr>
        <w:pStyle w:val="BodyText"/>
        <w:keepNext/>
        <w:keepLines/>
        <w:tabs>
          <w:tab w:val="clear" w:pos="720"/>
        </w:tabs>
        <w:spacing w:before="120" w:after="240" w:line="240" w:lineRule="auto"/>
        <w:ind w:right="130"/>
        <w:rPr>
          <w:b/>
          <w:bCs/>
          <w:i/>
          <w:iCs/>
          <w:snapToGrid w:val="0"/>
          <w:u w:val="single"/>
          <w:lang w:eastAsia="zh-TW"/>
        </w:rPr>
      </w:pPr>
      <w:r>
        <w:rPr>
          <w:b/>
          <w:bCs/>
          <w:i/>
          <w:iCs/>
          <w:snapToGrid w:val="0"/>
          <w:u w:val="single"/>
          <w:lang w:eastAsia="zh-TW"/>
        </w:rPr>
        <w:t>Application</w:t>
      </w:r>
    </w:p>
    <w:p w14:paraId="4D35F1F2" w14:textId="5E5BCC8D" w:rsidR="009F2A6B" w:rsidRDefault="00297A2B">
      <w:pPr>
        <w:pStyle w:val="FoFs"/>
      </w:pPr>
      <w:r>
        <w:t xml:space="preserve">On </w:t>
      </w:r>
      <w:r w:rsidR="008A0C80">
        <w:t>November 30</w:t>
      </w:r>
      <w:r>
        <w:t xml:space="preserve">, 2022, </w:t>
      </w:r>
      <w:r>
        <w:rPr>
          <w:lang w:eastAsia="zh-TW"/>
        </w:rPr>
        <w:t xml:space="preserve">CSWR-Texas and </w:t>
      </w:r>
      <w:r w:rsidR="00882B06">
        <w:rPr>
          <w:lang w:eastAsia="zh-TW"/>
        </w:rPr>
        <w:t>Intermediary</w:t>
      </w:r>
      <w:r w:rsidR="00611BCB">
        <w:rPr>
          <w:lang w:eastAsia="zh-TW"/>
        </w:rPr>
        <w:t xml:space="preserve"> Solutions</w:t>
      </w:r>
      <w:r>
        <w:t xml:space="preserve"> filed the application at issue in this proceeding.</w:t>
      </w:r>
    </w:p>
    <w:p w14:paraId="298FABF4" w14:textId="62BAEBB7" w:rsidR="009F2A6B" w:rsidRDefault="00297A2B">
      <w:pPr>
        <w:pStyle w:val="FoFs"/>
      </w:pPr>
      <w:r>
        <w:t xml:space="preserve">CSWR-Texas supplemented the application on </w:t>
      </w:r>
      <w:r w:rsidR="00B17163">
        <w:t>February</w:t>
      </w:r>
      <w:r>
        <w:t xml:space="preserve"> </w:t>
      </w:r>
      <w:r w:rsidR="00B17163">
        <w:t>2</w:t>
      </w:r>
      <w:r>
        <w:t xml:space="preserve">7 and March </w:t>
      </w:r>
      <w:r w:rsidR="00B17163">
        <w:t>28</w:t>
      </w:r>
      <w:r>
        <w:t>, 2023.</w:t>
      </w:r>
    </w:p>
    <w:p w14:paraId="07C47DB8" w14:textId="2EB37159" w:rsidR="009F2A6B" w:rsidRDefault="00297A2B">
      <w:pPr>
        <w:pStyle w:val="FoFs"/>
      </w:pPr>
      <w:r>
        <w:t xml:space="preserve">In the application, </w:t>
      </w:r>
      <w:r>
        <w:rPr>
          <w:lang w:eastAsia="zh-TW"/>
        </w:rPr>
        <w:t xml:space="preserve">CSWR-Texas and </w:t>
      </w:r>
      <w:r w:rsidR="009848F7">
        <w:rPr>
          <w:lang w:eastAsia="zh-TW"/>
        </w:rPr>
        <w:t>Intermediary Solutions</w:t>
      </w:r>
      <w:r>
        <w:rPr>
          <w:lang w:eastAsia="zh-TW"/>
        </w:rPr>
        <w:t xml:space="preserve"> </w:t>
      </w:r>
      <w:r>
        <w:t xml:space="preserve">seek approval of the following transaction: (a) CSWR-Texas will acquire all of </w:t>
      </w:r>
      <w:r w:rsidR="009D184C">
        <w:rPr>
          <w:lang w:eastAsia="zh-TW"/>
        </w:rPr>
        <w:t>Intermediary Solutions’</w:t>
      </w:r>
      <w:r>
        <w:t xml:space="preserve"> water facilities and water service area under CCN number</w:t>
      </w:r>
      <w:r>
        <w:rPr>
          <w:lang w:eastAsia="zh-TW"/>
        </w:rPr>
        <w:t xml:space="preserve"> </w:t>
      </w:r>
      <w:r w:rsidR="004D57DD">
        <w:rPr>
          <w:lang w:eastAsia="zh-TW"/>
        </w:rPr>
        <w:t>12179</w:t>
      </w:r>
      <w:r>
        <w:t xml:space="preserve">; (b) the cancellation of </w:t>
      </w:r>
      <w:r w:rsidR="00C24DBA">
        <w:rPr>
          <w:lang w:eastAsia="zh-TW"/>
        </w:rPr>
        <w:t>Intermediary Solutions’</w:t>
      </w:r>
      <w:r>
        <w:t xml:space="preserve"> water CCN number </w:t>
      </w:r>
      <w:r w:rsidR="0077206A">
        <w:rPr>
          <w:lang w:eastAsia="zh-TW"/>
        </w:rPr>
        <w:t>12179</w:t>
      </w:r>
      <w:r>
        <w:t xml:space="preserve">; and (c) the amendment of CSWR-Texas’s water CCN number 13290 </w:t>
      </w:r>
      <w:r w:rsidR="00C84E5A">
        <w:t>t</w:t>
      </w:r>
      <w:r>
        <w:t xml:space="preserve">o include the area previously included in </w:t>
      </w:r>
      <w:r w:rsidR="00C84E5A">
        <w:rPr>
          <w:lang w:eastAsia="zh-TW"/>
        </w:rPr>
        <w:t>Intermediary Solutions’</w:t>
      </w:r>
      <w:r>
        <w:t xml:space="preserve"> water CCN number </w:t>
      </w:r>
      <w:r w:rsidR="00E36ACF">
        <w:rPr>
          <w:lang w:eastAsia="zh-TW"/>
        </w:rPr>
        <w:t>12179</w:t>
      </w:r>
      <w:r w:rsidR="00AB6999">
        <w:rPr>
          <w:lang w:eastAsia="zh-TW"/>
        </w:rPr>
        <w:t xml:space="preserve"> and an additional 8.5 acres of uncertificated area</w:t>
      </w:r>
      <w:r>
        <w:rPr>
          <w:lang w:eastAsia="zh-TW"/>
        </w:rPr>
        <w:t>.</w:t>
      </w:r>
    </w:p>
    <w:p w14:paraId="1817B9AA" w14:textId="601EAE14" w:rsidR="009F2A6B" w:rsidRDefault="00297A2B">
      <w:pPr>
        <w:pStyle w:val="FoFs"/>
      </w:pPr>
      <w:r>
        <w:t>The requested area comprises approximately 1</w:t>
      </w:r>
      <w:r w:rsidR="00D64D55">
        <w:t>49.2</w:t>
      </w:r>
      <w:r>
        <w:t xml:space="preserve"> acres and </w:t>
      </w:r>
      <w:r w:rsidR="00D64D55">
        <w:t>194</w:t>
      </w:r>
      <w:r>
        <w:t xml:space="preserve"> customer connections, comprised of</w:t>
      </w:r>
      <w:r w:rsidR="00890FBB">
        <w:t xml:space="preserve"> 8.5</w:t>
      </w:r>
      <w:r>
        <w:t xml:space="preserve"> acres of uncertificated area; and </w:t>
      </w:r>
      <w:r w:rsidR="00890FBB">
        <w:t>140.7</w:t>
      </w:r>
      <w:r>
        <w:t xml:space="preserve"> acres of transferred area from CCN No. </w:t>
      </w:r>
      <w:r w:rsidR="0091230A">
        <w:t>12179</w:t>
      </w:r>
      <w:r>
        <w:t>.</w:t>
      </w:r>
    </w:p>
    <w:p w14:paraId="613A5C9D" w14:textId="41CF7DA9" w:rsidR="009F2A6B" w:rsidRDefault="00297A2B">
      <w:pPr>
        <w:pStyle w:val="FoFs"/>
      </w:pPr>
      <w:r>
        <w:t xml:space="preserve">The requested area is located approximately </w:t>
      </w:r>
      <w:r w:rsidR="003F2953">
        <w:t xml:space="preserve">3.7 mile(s) southwest of downtown New Deal, </w:t>
      </w:r>
      <w:r>
        <w:t>Texas</w:t>
      </w:r>
      <w:r w:rsidR="003F2953">
        <w:t>,</w:t>
      </w:r>
      <w:r>
        <w:t xml:space="preserve"> and is generally bounded on the north by </w:t>
      </w:r>
      <w:r w:rsidR="006F5BCE">
        <w:t>F</w:t>
      </w:r>
      <w:r w:rsidR="006303B9">
        <w:t xml:space="preserve">arm to </w:t>
      </w:r>
      <w:r w:rsidR="006F5BCE">
        <w:t>M</w:t>
      </w:r>
      <w:r w:rsidR="006303B9">
        <w:t>arket Road</w:t>
      </w:r>
      <w:r w:rsidR="006F5BCE">
        <w:t xml:space="preserve"> 1294</w:t>
      </w:r>
      <w:r>
        <w:t xml:space="preserve">; on the east </w:t>
      </w:r>
      <w:r w:rsidR="003F2953">
        <w:t xml:space="preserve">by </w:t>
      </w:r>
      <w:r w:rsidR="006F5BCE">
        <w:t>N</w:t>
      </w:r>
      <w:r w:rsidR="003F2953">
        <w:t>orth</w:t>
      </w:r>
      <w:r w:rsidR="006F5BCE">
        <w:t xml:space="preserve"> University Ave</w:t>
      </w:r>
      <w:r w:rsidR="003F2953">
        <w:t>nue (</w:t>
      </w:r>
      <w:r w:rsidR="006F5BCE">
        <w:t>F</w:t>
      </w:r>
      <w:r w:rsidR="006303B9">
        <w:t xml:space="preserve">arm to </w:t>
      </w:r>
      <w:r w:rsidR="006F5BCE">
        <w:t>M</w:t>
      </w:r>
      <w:r w:rsidR="006303B9">
        <w:t>arket Road</w:t>
      </w:r>
      <w:r w:rsidR="006F5BCE">
        <w:t xml:space="preserve"> 1264</w:t>
      </w:r>
      <w:r w:rsidR="003F2953">
        <w:t>)</w:t>
      </w:r>
      <w:r>
        <w:t xml:space="preserve">; on the south by </w:t>
      </w:r>
      <w:r w:rsidR="003F2953">
        <w:t xml:space="preserve">a parallel line approximately 800 feet south of Victoria Street; </w:t>
      </w:r>
      <w:r>
        <w:t>and on the west by</w:t>
      </w:r>
      <w:r w:rsidR="006F5BCE">
        <w:t xml:space="preserve"> N</w:t>
      </w:r>
      <w:r w:rsidR="00335263">
        <w:t xml:space="preserve">orth </w:t>
      </w:r>
      <w:r w:rsidR="006F5BCE">
        <w:t>Elgin Ave</w:t>
      </w:r>
      <w:r w:rsidR="003F2953">
        <w:t>nue (County Road 9152)</w:t>
      </w:r>
      <w:r>
        <w:t>.</w:t>
      </w:r>
    </w:p>
    <w:p w14:paraId="16FFD32C" w14:textId="4AA96F66" w:rsidR="009F2A6B" w:rsidRDefault="00297A2B">
      <w:pPr>
        <w:pStyle w:val="FoFs"/>
      </w:pPr>
      <w:r>
        <w:t xml:space="preserve">In Order No. </w:t>
      </w:r>
      <w:r w:rsidR="0089659F">
        <w:t>3</w:t>
      </w:r>
      <w:r>
        <w:t xml:space="preserve"> filed on </w:t>
      </w:r>
      <w:r w:rsidR="0089659F">
        <w:t>January 13</w:t>
      </w:r>
      <w:r>
        <w:t>, 202</w:t>
      </w:r>
      <w:r w:rsidR="0089659F">
        <w:t>3</w:t>
      </w:r>
      <w:r>
        <w:t>, the ALJ deemed the application</w:t>
      </w:r>
      <w:r w:rsidR="002B1100">
        <w:t xml:space="preserve"> </w:t>
      </w:r>
      <w:r>
        <w:t>administratively complete.</w:t>
      </w:r>
    </w:p>
    <w:p w14:paraId="6F54F42E" w14:textId="77777777" w:rsidR="009F2A6B" w:rsidRDefault="00297A2B">
      <w:pPr>
        <w:pStyle w:val="BodyText"/>
        <w:keepNext/>
        <w:tabs>
          <w:tab w:val="clear" w:pos="720"/>
        </w:tabs>
        <w:spacing w:before="120" w:after="240" w:line="240" w:lineRule="auto"/>
        <w:ind w:right="130"/>
        <w:rPr>
          <w:snapToGrid w:val="0"/>
          <w:lang w:eastAsia="zh-TW"/>
        </w:rPr>
      </w:pPr>
      <w:r>
        <w:rPr>
          <w:b/>
          <w:bCs/>
          <w:i/>
          <w:iCs/>
          <w:snapToGrid w:val="0"/>
          <w:u w:val="single"/>
          <w:lang w:eastAsia="zh-TW"/>
        </w:rPr>
        <w:t>Notice</w:t>
      </w:r>
    </w:p>
    <w:p w14:paraId="29288791" w14:textId="21FA9B80" w:rsidR="009F2A6B" w:rsidRDefault="00297A2B">
      <w:pPr>
        <w:pStyle w:val="FoFs"/>
      </w:pPr>
      <w:r>
        <w:t xml:space="preserve">On </w:t>
      </w:r>
      <w:r w:rsidR="00A95321">
        <w:t>February 10</w:t>
      </w:r>
      <w:r>
        <w:t xml:space="preserve">, 2023, CSWR-Texas filed the affidavit of Aaron Silas, Director of Regulatory Operations for CSWR-Texas, attesting that notice was provided to all current </w:t>
      </w:r>
      <w:r>
        <w:lastRenderedPageBreak/>
        <w:t xml:space="preserve">customers </w:t>
      </w:r>
      <w:r w:rsidR="00A95321">
        <w:t>of Intermediary Solutions</w:t>
      </w:r>
      <w:r>
        <w:t xml:space="preserve">, neighboring utilities, and affected parties on </w:t>
      </w:r>
      <w:r w:rsidR="005A6686">
        <w:t>January 24, 2023</w:t>
      </w:r>
      <w:r>
        <w:t>.</w:t>
      </w:r>
    </w:p>
    <w:p w14:paraId="12E58D16" w14:textId="4EAFA530" w:rsidR="009F2A6B" w:rsidRDefault="00297A2B">
      <w:pPr>
        <w:pStyle w:val="FoFs"/>
      </w:pPr>
      <w:r>
        <w:t xml:space="preserve">Also, on </w:t>
      </w:r>
      <w:r w:rsidR="00292ADE">
        <w:t>February 10,</w:t>
      </w:r>
      <w:r>
        <w:t xml:space="preserve"> 2023, CSWR-Texas filed the publisher’s affidavit attesting to the publication of notice in the </w:t>
      </w:r>
      <w:r w:rsidR="00292ADE">
        <w:rPr>
          <w:i/>
          <w:iCs/>
        </w:rPr>
        <w:t xml:space="preserve">Lubbock </w:t>
      </w:r>
      <w:r w:rsidR="00D90A4A">
        <w:rPr>
          <w:i/>
          <w:iCs/>
        </w:rPr>
        <w:t>Avalanche</w:t>
      </w:r>
      <w:r w:rsidR="00292ADE">
        <w:rPr>
          <w:i/>
          <w:iCs/>
        </w:rPr>
        <w:t>-Journal</w:t>
      </w:r>
      <w:r>
        <w:t xml:space="preserve">, a newspaper of general circulation in </w:t>
      </w:r>
      <w:r w:rsidR="00292ADE">
        <w:t>Lubbock</w:t>
      </w:r>
      <w:r>
        <w:t xml:space="preserve"> County, on </w:t>
      </w:r>
      <w:r w:rsidR="009F3B71">
        <w:t>January 26 and February 2,</w:t>
      </w:r>
      <w:r>
        <w:t xml:space="preserve"> 202</w:t>
      </w:r>
      <w:r w:rsidR="009F3B71">
        <w:t>3</w:t>
      </w:r>
      <w:r>
        <w:t>.</w:t>
      </w:r>
    </w:p>
    <w:p w14:paraId="0B623C71" w14:textId="1EEC6AA8" w:rsidR="009F2A6B" w:rsidRDefault="00297A2B">
      <w:pPr>
        <w:pStyle w:val="FoFs"/>
      </w:pPr>
      <w:r>
        <w:t xml:space="preserve">In Order No. </w:t>
      </w:r>
      <w:r w:rsidR="00E9547D">
        <w:t>4</w:t>
      </w:r>
      <w:r>
        <w:t xml:space="preserve"> filed on </w:t>
      </w:r>
      <w:r w:rsidR="00E9547D">
        <w:t>March 14, 2023</w:t>
      </w:r>
      <w:r>
        <w:t>, the ALJ deemed the notice sufficient.</w:t>
      </w:r>
    </w:p>
    <w:p w14:paraId="52B57E69" w14:textId="77777777" w:rsidR="009F2A6B" w:rsidRDefault="00297A2B">
      <w:pPr>
        <w:pStyle w:val="BodyText"/>
        <w:tabs>
          <w:tab w:val="clear" w:pos="720"/>
        </w:tabs>
        <w:spacing w:before="120" w:after="240" w:line="240" w:lineRule="auto"/>
        <w:ind w:right="130"/>
        <w:rPr>
          <w:snapToGrid w:val="0"/>
          <w:lang w:eastAsia="zh-TW"/>
        </w:rPr>
      </w:pPr>
      <w:r>
        <w:rPr>
          <w:b/>
          <w:bCs/>
          <w:i/>
          <w:iCs/>
          <w:snapToGrid w:val="0"/>
          <w:u w:val="single"/>
          <w:lang w:eastAsia="zh-TW"/>
        </w:rPr>
        <w:t>Evidentiary Record</w:t>
      </w:r>
    </w:p>
    <w:p w14:paraId="17BF674D" w14:textId="37D3D44A" w:rsidR="009F2A6B" w:rsidRDefault="00297A2B">
      <w:pPr>
        <w:pStyle w:val="FoFs"/>
      </w:pPr>
      <w:r>
        <w:t xml:space="preserve">On </w:t>
      </w:r>
      <w:r w:rsidR="007F11A0">
        <w:t>May 3</w:t>
      </w:r>
      <w:r w:rsidR="00433C1C">
        <w:t xml:space="preserve">, </w:t>
      </w:r>
      <w:r>
        <w:t>2023, the parties filed a joint motion to admit evidence.</w:t>
      </w:r>
    </w:p>
    <w:p w14:paraId="24EAB0B1" w14:textId="3D62EB97" w:rsidR="009F2A6B" w:rsidRDefault="00297A2B">
      <w:pPr>
        <w:pStyle w:val="FoFs"/>
        <w:rPr>
          <w:lang w:eastAsia="zh-TW"/>
        </w:rPr>
      </w:pPr>
      <w:r>
        <w:t>In Order No. _</w:t>
      </w:r>
      <w:r w:rsidR="00111D9B">
        <w:t>__</w:t>
      </w:r>
      <w:r>
        <w:t>_ filed on _</w:t>
      </w:r>
      <w:r w:rsidR="00111D9B">
        <w:t>________________</w:t>
      </w:r>
      <w:r>
        <w:t xml:space="preserve">_, the ALJ admitted the following evidence into the record: (a) </w:t>
      </w:r>
      <w:r w:rsidR="004E78BB">
        <w:rPr>
          <w:lang w:eastAsia="zh-TW"/>
        </w:rPr>
        <w:t>the a</w:t>
      </w:r>
      <w:r w:rsidR="004E78BB" w:rsidRPr="00156A3C">
        <w:rPr>
          <w:lang w:eastAsia="zh-TW"/>
        </w:rPr>
        <w:t xml:space="preserve">pplication, including confidential attachments, filed on </w:t>
      </w:r>
      <w:r w:rsidR="004E78BB">
        <w:rPr>
          <w:lang w:eastAsia="zh-TW"/>
        </w:rPr>
        <w:t>November</w:t>
      </w:r>
      <w:r w:rsidR="00111D9B">
        <w:rPr>
          <w:lang w:eastAsia="zh-TW"/>
        </w:rPr>
        <w:t> </w:t>
      </w:r>
      <w:r w:rsidR="004E78BB">
        <w:rPr>
          <w:lang w:eastAsia="zh-TW"/>
        </w:rPr>
        <w:t>30,</w:t>
      </w:r>
      <w:r w:rsidR="00111D9B">
        <w:rPr>
          <w:lang w:eastAsia="zh-TW"/>
        </w:rPr>
        <w:t> </w:t>
      </w:r>
      <w:r w:rsidR="004E78BB">
        <w:rPr>
          <w:lang w:eastAsia="zh-TW"/>
        </w:rPr>
        <w:t>2022; (b) CSWR-Texas’s first supplement</w:t>
      </w:r>
      <w:r w:rsidR="00DC018C">
        <w:rPr>
          <w:lang w:eastAsia="zh-TW"/>
        </w:rPr>
        <w:t xml:space="preserve"> to the application</w:t>
      </w:r>
      <w:r w:rsidR="004E78BB">
        <w:rPr>
          <w:lang w:eastAsia="zh-TW"/>
        </w:rPr>
        <w:t>, filed on February 27, 2023; (c) CSWR-Texas’s second supplement to the application, filed on March 28, 2023; (d) Commission Staff’s recommendation on administrative completeness, filed on January 12, 2023; (e)</w:t>
      </w:r>
      <w:r w:rsidR="004E78BB" w:rsidRPr="004E78BB">
        <w:rPr>
          <w:lang w:eastAsia="zh-TW"/>
        </w:rPr>
        <w:t xml:space="preserve"> </w:t>
      </w:r>
      <w:r w:rsidR="004E78BB">
        <w:rPr>
          <w:lang w:eastAsia="zh-TW"/>
        </w:rPr>
        <w:t>CSWR-Texas</w:t>
      </w:r>
      <w:r w:rsidR="004E78BB" w:rsidRPr="00156A3C">
        <w:rPr>
          <w:lang w:eastAsia="zh-TW"/>
        </w:rPr>
        <w:t xml:space="preserve">’s </w:t>
      </w:r>
      <w:r w:rsidR="004E78BB">
        <w:rPr>
          <w:lang w:eastAsia="zh-TW"/>
        </w:rPr>
        <w:t>a</w:t>
      </w:r>
      <w:r w:rsidR="004E78BB" w:rsidRPr="00156A3C">
        <w:rPr>
          <w:lang w:eastAsia="zh-TW"/>
        </w:rPr>
        <w:t xml:space="preserve">ffidavit of </w:t>
      </w:r>
      <w:r w:rsidR="004E78BB">
        <w:rPr>
          <w:lang w:eastAsia="zh-TW"/>
        </w:rPr>
        <w:t>n</w:t>
      </w:r>
      <w:r w:rsidR="004E78BB" w:rsidRPr="00156A3C">
        <w:rPr>
          <w:lang w:eastAsia="zh-TW"/>
        </w:rPr>
        <w:t xml:space="preserve">otice to </w:t>
      </w:r>
      <w:r w:rsidR="004E78BB">
        <w:rPr>
          <w:lang w:eastAsia="zh-TW"/>
        </w:rPr>
        <w:t>c</w:t>
      </w:r>
      <w:r w:rsidR="004E78BB" w:rsidRPr="00156A3C">
        <w:rPr>
          <w:lang w:eastAsia="zh-TW"/>
        </w:rPr>
        <w:t xml:space="preserve">urrent </w:t>
      </w:r>
      <w:r w:rsidR="004E78BB">
        <w:rPr>
          <w:lang w:eastAsia="zh-TW"/>
        </w:rPr>
        <w:t>c</w:t>
      </w:r>
      <w:r w:rsidR="004E78BB" w:rsidRPr="00156A3C">
        <w:rPr>
          <w:lang w:eastAsia="zh-TW"/>
        </w:rPr>
        <w:t xml:space="preserve">ustomers, </w:t>
      </w:r>
      <w:r w:rsidR="004E78BB">
        <w:rPr>
          <w:lang w:eastAsia="zh-TW"/>
        </w:rPr>
        <w:t>n</w:t>
      </w:r>
      <w:r w:rsidR="004E78BB" w:rsidRPr="00156A3C">
        <w:rPr>
          <w:lang w:eastAsia="zh-TW"/>
        </w:rPr>
        <w:t xml:space="preserve">eighboring </w:t>
      </w:r>
      <w:r w:rsidR="004E78BB">
        <w:rPr>
          <w:lang w:eastAsia="zh-TW"/>
        </w:rPr>
        <w:t>u</w:t>
      </w:r>
      <w:r w:rsidR="004E78BB" w:rsidRPr="00156A3C">
        <w:rPr>
          <w:lang w:eastAsia="zh-TW"/>
        </w:rPr>
        <w:t xml:space="preserve">tilities, and </w:t>
      </w:r>
      <w:r w:rsidR="004E78BB">
        <w:rPr>
          <w:lang w:eastAsia="zh-TW"/>
        </w:rPr>
        <w:t>a</w:t>
      </w:r>
      <w:r w:rsidR="004E78BB" w:rsidRPr="00156A3C">
        <w:rPr>
          <w:lang w:eastAsia="zh-TW"/>
        </w:rPr>
        <w:t xml:space="preserve">ffected </w:t>
      </w:r>
      <w:r w:rsidR="004E78BB">
        <w:rPr>
          <w:lang w:eastAsia="zh-TW"/>
        </w:rPr>
        <w:t>p</w:t>
      </w:r>
      <w:r w:rsidR="004E78BB" w:rsidRPr="00156A3C">
        <w:rPr>
          <w:lang w:eastAsia="zh-TW"/>
        </w:rPr>
        <w:t xml:space="preserve">arties, including </w:t>
      </w:r>
      <w:r w:rsidR="004E78BB">
        <w:rPr>
          <w:lang w:eastAsia="zh-TW"/>
        </w:rPr>
        <w:t>highly sensitive</w:t>
      </w:r>
      <w:r w:rsidR="004E78BB" w:rsidRPr="00156A3C">
        <w:rPr>
          <w:lang w:eastAsia="zh-TW"/>
        </w:rPr>
        <w:t xml:space="preserve"> Exhibit</w:t>
      </w:r>
      <w:r w:rsidR="00DC018C">
        <w:rPr>
          <w:lang w:eastAsia="zh-TW"/>
        </w:rPr>
        <w:t> </w:t>
      </w:r>
      <w:r w:rsidR="004E78BB" w:rsidRPr="00156A3C">
        <w:rPr>
          <w:lang w:eastAsia="zh-TW"/>
        </w:rPr>
        <w:t xml:space="preserve">B, filed on </w:t>
      </w:r>
      <w:r w:rsidR="004E78BB">
        <w:rPr>
          <w:lang w:eastAsia="zh-TW"/>
        </w:rPr>
        <w:t xml:space="preserve">February 10, 2023; (f) Commission </w:t>
      </w:r>
      <w:r w:rsidR="004E78BB" w:rsidRPr="00156A3C">
        <w:rPr>
          <w:lang w:eastAsia="zh-TW"/>
        </w:rPr>
        <w:t xml:space="preserve">Staff’s </w:t>
      </w:r>
      <w:r w:rsidR="004E78BB">
        <w:rPr>
          <w:lang w:eastAsia="zh-TW"/>
        </w:rPr>
        <w:t>r</w:t>
      </w:r>
      <w:r w:rsidR="004E78BB" w:rsidRPr="00156A3C">
        <w:rPr>
          <w:lang w:eastAsia="zh-TW"/>
        </w:rPr>
        <w:t xml:space="preserve">ecommendation on </w:t>
      </w:r>
      <w:r w:rsidR="004E78BB">
        <w:rPr>
          <w:lang w:eastAsia="zh-TW"/>
        </w:rPr>
        <w:t>s</w:t>
      </w:r>
      <w:r w:rsidR="004E78BB" w:rsidRPr="00156A3C">
        <w:rPr>
          <w:lang w:eastAsia="zh-TW"/>
        </w:rPr>
        <w:t xml:space="preserve">ufficiency of </w:t>
      </w:r>
      <w:r w:rsidR="004E78BB">
        <w:rPr>
          <w:lang w:eastAsia="zh-TW"/>
        </w:rPr>
        <w:t>n</w:t>
      </w:r>
      <w:r w:rsidR="004E78BB" w:rsidRPr="00156A3C">
        <w:rPr>
          <w:lang w:eastAsia="zh-TW"/>
        </w:rPr>
        <w:t>otice, filed on</w:t>
      </w:r>
      <w:r w:rsidR="004E78BB">
        <w:rPr>
          <w:lang w:eastAsia="zh-TW"/>
        </w:rPr>
        <w:t xml:space="preserve"> March 13, 2023; and (g) Commission </w:t>
      </w:r>
      <w:r w:rsidR="004E78BB" w:rsidRPr="00156A3C">
        <w:rPr>
          <w:lang w:eastAsia="zh-TW"/>
        </w:rPr>
        <w:t xml:space="preserve">Staff’s </w:t>
      </w:r>
      <w:r w:rsidR="004E78BB">
        <w:rPr>
          <w:lang w:eastAsia="zh-TW"/>
        </w:rPr>
        <w:t>r</w:t>
      </w:r>
      <w:r w:rsidR="004E78BB" w:rsidRPr="00156A3C">
        <w:rPr>
          <w:lang w:eastAsia="zh-TW"/>
        </w:rPr>
        <w:t xml:space="preserve">ecommendation on the </w:t>
      </w:r>
      <w:r w:rsidR="004E78BB">
        <w:rPr>
          <w:lang w:eastAsia="zh-TW"/>
        </w:rPr>
        <w:t>t</w:t>
      </w:r>
      <w:r w:rsidR="004E78BB" w:rsidRPr="00156A3C">
        <w:rPr>
          <w:lang w:eastAsia="zh-TW"/>
        </w:rPr>
        <w:t xml:space="preserve">ransaction, </w:t>
      </w:r>
      <w:r w:rsidR="004E78BB">
        <w:rPr>
          <w:lang w:eastAsia="zh-TW"/>
        </w:rPr>
        <w:t xml:space="preserve">including confidential attachment FB-1, </w:t>
      </w:r>
      <w:r w:rsidR="004E78BB" w:rsidRPr="00156A3C">
        <w:rPr>
          <w:lang w:eastAsia="zh-TW"/>
        </w:rPr>
        <w:t xml:space="preserve">filed on </w:t>
      </w:r>
      <w:r w:rsidR="004E78BB">
        <w:rPr>
          <w:lang w:eastAsia="zh-TW"/>
        </w:rPr>
        <w:t>April 5, 2023.</w:t>
      </w:r>
    </w:p>
    <w:p w14:paraId="5A894739" w14:textId="77777777" w:rsidR="009F2A6B" w:rsidRDefault="00297A2B" w:rsidP="00DF6A15">
      <w:pPr>
        <w:pStyle w:val="FoFs"/>
        <w:keepNext/>
        <w:keepLines/>
        <w:numPr>
          <w:ilvl w:val="0"/>
          <w:numId w:val="0"/>
        </w:numPr>
        <w:rPr>
          <w:b/>
          <w:i/>
          <w:u w:val="single"/>
        </w:rPr>
      </w:pPr>
      <w:r>
        <w:rPr>
          <w:b/>
          <w:i/>
          <w:u w:val="single"/>
        </w:rPr>
        <w:lastRenderedPageBreak/>
        <w:t>Cumulative Recommendation</w:t>
      </w:r>
    </w:p>
    <w:p w14:paraId="5F7E3623" w14:textId="528E3589" w:rsidR="009F2A6B" w:rsidRDefault="00297A2B" w:rsidP="00DF6A15">
      <w:pPr>
        <w:pStyle w:val="FoFs"/>
        <w:keepNext/>
        <w:keepLines/>
      </w:pPr>
      <w:bookmarkStart w:id="2" w:name="_Hlk56163440"/>
      <w:r>
        <w:t xml:space="preserve">On </w:t>
      </w:r>
      <w:r w:rsidR="00EA7703">
        <w:t>April</w:t>
      </w:r>
      <w:r>
        <w:rPr>
          <w:lang w:eastAsia="zh-TW"/>
        </w:rPr>
        <w:t xml:space="preserve"> </w:t>
      </w:r>
      <w:r w:rsidR="00EA7703">
        <w:rPr>
          <w:lang w:eastAsia="zh-TW"/>
        </w:rPr>
        <w:t>5</w:t>
      </w:r>
      <w:r>
        <w:rPr>
          <w:lang w:eastAsia="zh-TW"/>
        </w:rPr>
        <w:t>, 2023,</w:t>
      </w:r>
      <w:r>
        <w:t xml:space="preserve"> Commission Staff filed its recommendation regarding the transaction in this docket recommending that CSWR-Texas has the financial, managerial, and technical capability to provide continuous and adequate service to all areas included in this docket and in Docket Nos. </w:t>
      </w:r>
      <w:bookmarkEnd w:id="2"/>
      <w:r>
        <w:t>50251,</w:t>
      </w:r>
      <w:r>
        <w:rPr>
          <w:rStyle w:val="FootnoteReference"/>
        </w:rPr>
        <w:footnoteReference w:id="1"/>
      </w:r>
      <w:r>
        <w:t xml:space="preserve"> 50276,</w:t>
      </w:r>
      <w:r>
        <w:rPr>
          <w:rStyle w:val="FootnoteReference"/>
        </w:rPr>
        <w:t xml:space="preserve"> </w:t>
      </w:r>
      <w:r>
        <w:rPr>
          <w:rStyle w:val="FootnoteReference"/>
        </w:rPr>
        <w:footnoteReference w:id="2"/>
      </w:r>
      <w:r>
        <w:t xml:space="preserve"> 50311,</w:t>
      </w:r>
      <w:r>
        <w:rPr>
          <w:rStyle w:val="FootnoteReference"/>
        </w:rPr>
        <w:t xml:space="preserve"> </w:t>
      </w:r>
      <w:r>
        <w:rPr>
          <w:rStyle w:val="FootnoteReference"/>
        </w:rPr>
        <w:footnoteReference w:id="3"/>
      </w:r>
      <w:r>
        <w:t xml:space="preserve"> 50989,</w:t>
      </w:r>
      <w:r>
        <w:rPr>
          <w:rStyle w:val="FootnoteReference"/>
        </w:rPr>
        <w:footnoteReference w:id="4"/>
      </w:r>
      <w:r>
        <w:t xml:space="preserve"> 51003,</w:t>
      </w:r>
      <w:r>
        <w:rPr>
          <w:rStyle w:val="FootnoteReference"/>
        </w:rPr>
        <w:t xml:space="preserve"> </w:t>
      </w:r>
      <w:r>
        <w:rPr>
          <w:rStyle w:val="FootnoteReference"/>
        </w:rPr>
        <w:footnoteReference w:id="5"/>
      </w:r>
      <w:r>
        <w:t xml:space="preserve"> 51026,</w:t>
      </w:r>
      <w:r>
        <w:rPr>
          <w:rStyle w:val="FootnoteReference"/>
        </w:rPr>
        <w:footnoteReference w:id="6"/>
      </w:r>
      <w:r>
        <w:t xml:space="preserve"> 51031,</w:t>
      </w:r>
      <w:r>
        <w:rPr>
          <w:rStyle w:val="FootnoteReference"/>
        </w:rPr>
        <w:footnoteReference w:id="7"/>
      </w:r>
      <w:r>
        <w:t xml:space="preserve"> 51036,</w:t>
      </w:r>
      <w:r>
        <w:rPr>
          <w:rStyle w:val="FootnoteReference"/>
        </w:rPr>
        <w:footnoteReference w:id="8"/>
      </w:r>
      <w:r>
        <w:t xml:space="preserve"> 51047,</w:t>
      </w:r>
      <w:r>
        <w:rPr>
          <w:rStyle w:val="FootnoteReference"/>
        </w:rPr>
        <w:footnoteReference w:id="9"/>
      </w:r>
      <w:r>
        <w:t xml:space="preserve"> 51065,</w:t>
      </w:r>
      <w:r>
        <w:rPr>
          <w:rStyle w:val="FootnoteReference"/>
        </w:rPr>
        <w:footnoteReference w:id="10"/>
      </w:r>
      <w:r>
        <w:t xml:space="preserve"> 51089,</w:t>
      </w:r>
      <w:r>
        <w:rPr>
          <w:rStyle w:val="FootnoteReference"/>
        </w:rPr>
        <w:footnoteReference w:id="11"/>
      </w:r>
      <w:r>
        <w:t xml:space="preserve"> 51118,</w:t>
      </w:r>
      <w:r>
        <w:rPr>
          <w:rStyle w:val="FootnoteReference"/>
        </w:rPr>
        <w:footnoteReference w:id="12"/>
      </w:r>
      <w:r>
        <w:t xml:space="preserve"> 51126,</w:t>
      </w:r>
      <w:r>
        <w:rPr>
          <w:rStyle w:val="FootnoteReference"/>
        </w:rPr>
        <w:footnoteReference w:id="13"/>
      </w:r>
      <w:r>
        <w:t xml:space="preserve"> 51130,</w:t>
      </w:r>
      <w:r>
        <w:rPr>
          <w:rStyle w:val="FootnoteReference"/>
        </w:rPr>
        <w:footnoteReference w:id="14"/>
      </w:r>
      <w:r>
        <w:t xml:space="preserve"> 51146,</w:t>
      </w:r>
      <w:r>
        <w:rPr>
          <w:rStyle w:val="FootnoteReference"/>
        </w:rPr>
        <w:footnoteReference w:id="15"/>
      </w:r>
      <w:r>
        <w:t xml:space="preserve"> 51222,</w:t>
      </w:r>
      <w:r>
        <w:rPr>
          <w:rStyle w:val="FootnoteReference"/>
        </w:rPr>
        <w:footnoteReference w:id="16"/>
      </w:r>
      <w:r>
        <w:t xml:space="preserve"> 51544,</w:t>
      </w:r>
      <w:r>
        <w:rPr>
          <w:rStyle w:val="FootnoteReference"/>
        </w:rPr>
        <w:footnoteReference w:id="17"/>
      </w:r>
      <w:r>
        <w:t xml:space="preserve"> 51642,</w:t>
      </w:r>
      <w:r>
        <w:rPr>
          <w:rStyle w:val="FootnoteReference"/>
        </w:rPr>
        <w:footnoteReference w:id="18"/>
      </w:r>
      <w:r>
        <w:t xml:space="preserve"> </w:t>
      </w:r>
      <w:bookmarkStart w:id="3" w:name="_Hlk80275489"/>
      <w:r>
        <w:t>51917,</w:t>
      </w:r>
      <w:r>
        <w:rPr>
          <w:rStyle w:val="FootnoteReference"/>
        </w:rPr>
        <w:footnoteReference w:id="19"/>
      </w:r>
      <w:r>
        <w:t xml:space="preserve"> 51928,</w:t>
      </w:r>
      <w:r>
        <w:rPr>
          <w:rStyle w:val="FootnoteReference"/>
        </w:rPr>
        <w:footnoteReference w:id="20"/>
      </w:r>
      <w:r>
        <w:t xml:space="preserve"> 51940,</w:t>
      </w:r>
      <w:r>
        <w:rPr>
          <w:rStyle w:val="FootnoteReference"/>
        </w:rPr>
        <w:footnoteReference w:id="21"/>
      </w:r>
      <w:r>
        <w:t xml:space="preserve"> 51981,</w:t>
      </w:r>
      <w:r>
        <w:rPr>
          <w:rStyle w:val="FootnoteReference"/>
        </w:rPr>
        <w:footnoteReference w:id="22"/>
      </w:r>
      <w:r>
        <w:t xml:space="preserve"> </w:t>
      </w:r>
      <w:bookmarkEnd w:id="3"/>
      <w:r>
        <w:t>52089,</w:t>
      </w:r>
      <w:r>
        <w:rPr>
          <w:rStyle w:val="FootnoteReference"/>
        </w:rPr>
        <w:footnoteReference w:id="23"/>
      </w:r>
      <w:r>
        <w:t xml:space="preserve"> 52099,</w:t>
      </w:r>
      <w:r>
        <w:rPr>
          <w:rStyle w:val="FootnoteReference"/>
        </w:rPr>
        <w:footnoteReference w:id="24"/>
      </w:r>
      <w:r>
        <w:t xml:space="preserve"> 52410,</w:t>
      </w:r>
      <w:r>
        <w:rPr>
          <w:rStyle w:val="FootnoteReference"/>
        </w:rPr>
        <w:footnoteReference w:id="25"/>
      </w:r>
      <w:r>
        <w:t xml:space="preserve"> 52702,</w:t>
      </w:r>
      <w:r>
        <w:rPr>
          <w:rStyle w:val="FootnoteReference"/>
        </w:rPr>
        <w:footnoteReference w:id="26"/>
      </w:r>
      <w:r>
        <w:t xml:space="preserve"> 52803,</w:t>
      </w:r>
      <w:r>
        <w:rPr>
          <w:rStyle w:val="FootnoteReference"/>
        </w:rPr>
        <w:footnoteReference w:id="27"/>
      </w:r>
      <w:r>
        <w:t xml:space="preserve"> 52879,</w:t>
      </w:r>
      <w:r>
        <w:rPr>
          <w:rStyle w:val="FootnoteReference"/>
        </w:rPr>
        <w:footnoteReference w:id="28"/>
      </w:r>
      <w:r>
        <w:t xml:space="preserve"> 52661,</w:t>
      </w:r>
      <w:r>
        <w:rPr>
          <w:rStyle w:val="FootnoteReference"/>
        </w:rPr>
        <w:footnoteReference w:id="29"/>
      </w:r>
      <w:r>
        <w:t xml:space="preserve"> 52880,</w:t>
      </w:r>
      <w:r>
        <w:rPr>
          <w:rStyle w:val="FootnoteReference"/>
        </w:rPr>
        <w:footnoteReference w:id="30"/>
      </w:r>
      <w:r>
        <w:t xml:space="preserve"> 53326</w:t>
      </w:r>
      <w:r w:rsidR="00A85E00">
        <w:t>,</w:t>
      </w:r>
      <w:r>
        <w:rPr>
          <w:rStyle w:val="FootnoteReference"/>
        </w:rPr>
        <w:footnoteReference w:id="31"/>
      </w:r>
      <w:r>
        <w:t xml:space="preserve"> </w:t>
      </w:r>
      <w:r w:rsidR="00A85E00">
        <w:t>53456,</w:t>
      </w:r>
      <w:r w:rsidR="00A85E00">
        <w:rPr>
          <w:rStyle w:val="FootnoteReference"/>
        </w:rPr>
        <w:footnoteReference w:id="32"/>
      </w:r>
      <w:r w:rsidR="00A85E00">
        <w:t xml:space="preserve"> 53538,</w:t>
      </w:r>
      <w:r w:rsidR="00A85E00">
        <w:rPr>
          <w:rStyle w:val="FootnoteReference"/>
        </w:rPr>
        <w:footnoteReference w:id="33"/>
      </w:r>
      <w:r w:rsidR="00A85E00">
        <w:t xml:space="preserve"> and 53483.</w:t>
      </w:r>
      <w:r w:rsidR="00A85E00">
        <w:rPr>
          <w:rStyle w:val="FootnoteReference"/>
        </w:rPr>
        <w:footnoteReference w:id="34"/>
      </w:r>
    </w:p>
    <w:p w14:paraId="07EFD427" w14:textId="77777777" w:rsidR="009F2A6B" w:rsidRDefault="00297A2B" w:rsidP="00DF6A15">
      <w:pPr>
        <w:pStyle w:val="FoFs"/>
        <w:keepNext/>
        <w:keepLines/>
        <w:numPr>
          <w:ilvl w:val="0"/>
          <w:numId w:val="0"/>
        </w:numPr>
        <w:rPr>
          <w:b/>
          <w:i/>
          <w:u w:val="single"/>
        </w:rPr>
      </w:pPr>
      <w:r>
        <w:rPr>
          <w:b/>
          <w:i/>
          <w:u w:val="single"/>
        </w:rPr>
        <w:t xml:space="preserve">System Compliance </w:t>
      </w:r>
    </w:p>
    <w:p w14:paraId="16AAA42D" w14:textId="77777777" w:rsidR="009F2A6B" w:rsidRDefault="00297A2B">
      <w:pPr>
        <w:pStyle w:val="FoFs"/>
      </w:pPr>
      <w:r>
        <w:t>CSWR-Texas does not have a history of continuing mismanagement or misuse of revenues as a utility service provider.</w:t>
      </w:r>
    </w:p>
    <w:p w14:paraId="2B691B2E" w14:textId="77777777" w:rsidR="009F2A6B" w:rsidRDefault="00297A2B">
      <w:pPr>
        <w:pStyle w:val="FoFs"/>
      </w:pPr>
      <w:r>
        <w:lastRenderedPageBreak/>
        <w:t xml:space="preserve">CSWR-Texas demonstrated a compliance history that is adequate for approval of the sale to proceed. </w:t>
      </w:r>
    </w:p>
    <w:p w14:paraId="7A447C77" w14:textId="77777777" w:rsidR="009F2A6B" w:rsidRDefault="00297A2B" w:rsidP="002600AF">
      <w:pPr>
        <w:pStyle w:val="BodyText"/>
        <w:keepNext/>
        <w:keepLines/>
        <w:tabs>
          <w:tab w:val="clear" w:pos="720"/>
        </w:tabs>
        <w:spacing w:before="120" w:after="240" w:line="240" w:lineRule="auto"/>
        <w:ind w:right="130"/>
        <w:rPr>
          <w:b/>
          <w:bCs/>
          <w:i/>
          <w:iCs/>
          <w:snapToGrid w:val="0"/>
          <w:u w:val="single"/>
          <w:lang w:eastAsia="zh-TW"/>
        </w:rPr>
      </w:pPr>
      <w:r>
        <w:rPr>
          <w:b/>
          <w:bCs/>
          <w:i/>
          <w:iCs/>
          <w:snapToGrid w:val="0"/>
          <w:u w:val="single"/>
          <w:lang w:eastAsia="zh-TW"/>
        </w:rPr>
        <w:t>Adequacy of Existing Service</w:t>
      </w:r>
    </w:p>
    <w:p w14:paraId="3067C962" w14:textId="7B4FA85A" w:rsidR="009F2A6B" w:rsidRDefault="00297A2B">
      <w:pPr>
        <w:pStyle w:val="FoFs"/>
      </w:pPr>
      <w:bookmarkStart w:id="4" w:name="_Hlk45790178"/>
      <w:r>
        <w:t xml:space="preserve">The last TCEQ compliance investigation of the </w:t>
      </w:r>
      <w:r w:rsidR="00A67FB3">
        <w:t>Intermediary</w:t>
      </w:r>
      <w:r w:rsidR="005F68DA">
        <w:t xml:space="preserve"> Solutions system</w:t>
      </w:r>
      <w:r>
        <w:t xml:space="preserve"> was on </w:t>
      </w:r>
      <w:r w:rsidR="00A67FB3">
        <w:t>March 1, 2022</w:t>
      </w:r>
      <w:r>
        <w:t xml:space="preserve">. </w:t>
      </w:r>
      <w:r w:rsidR="00DC018C">
        <w:t xml:space="preserve"> </w:t>
      </w:r>
      <w:r w:rsidR="00B7757E">
        <w:t xml:space="preserve">Intermediary Solutions has three violations listed in the TCEQ database.  </w:t>
      </w:r>
    </w:p>
    <w:p w14:paraId="18A57AAA" w14:textId="77777777" w:rsidR="009F2A6B" w:rsidRDefault="00297A2B">
      <w:pPr>
        <w:pStyle w:val="FoFs"/>
      </w:pPr>
      <w:r>
        <w:rPr>
          <w:rFonts w:eastAsia="Times New Roman"/>
          <w:snapToGrid/>
          <w:lang w:eastAsia="en-US"/>
        </w:rPr>
        <w:t>CSWR-Texas plans to make upgrades, renovations, and repairs to the system to return the system to compliance and to ensure that customers receive safe and reliable service.</w:t>
      </w:r>
    </w:p>
    <w:p w14:paraId="1F5F78DE" w14:textId="77777777" w:rsidR="009F2A6B" w:rsidRDefault="00297A2B" w:rsidP="004F01BE">
      <w:pPr>
        <w:pStyle w:val="BodyText"/>
        <w:keepNext/>
        <w:keepLines/>
        <w:tabs>
          <w:tab w:val="clear" w:pos="720"/>
        </w:tabs>
        <w:spacing w:before="120" w:after="240" w:line="240" w:lineRule="auto"/>
        <w:ind w:right="130"/>
        <w:rPr>
          <w:b/>
          <w:bCs/>
          <w:i/>
          <w:iCs/>
          <w:snapToGrid w:val="0"/>
          <w:u w:val="single"/>
          <w:lang w:eastAsia="zh-TW"/>
        </w:rPr>
      </w:pPr>
      <w:r>
        <w:rPr>
          <w:b/>
          <w:bCs/>
          <w:i/>
          <w:iCs/>
          <w:snapToGrid w:val="0"/>
          <w:u w:val="single"/>
          <w:lang w:eastAsia="zh-TW"/>
        </w:rPr>
        <w:lastRenderedPageBreak/>
        <w:t>Need for Additional Service</w:t>
      </w:r>
    </w:p>
    <w:p w14:paraId="2CAC9D77" w14:textId="4F930BFC" w:rsidR="009F2A6B" w:rsidRDefault="00297A2B">
      <w:pPr>
        <w:pStyle w:val="FoFs"/>
      </w:pPr>
      <w:r>
        <w:t xml:space="preserve">There is a continuing need for service because </w:t>
      </w:r>
      <w:r w:rsidR="008E6556">
        <w:rPr>
          <w:lang w:eastAsia="zh-TW"/>
        </w:rPr>
        <w:t>Intermediary Solutions</w:t>
      </w:r>
      <w:r>
        <w:t xml:space="preserve"> is currently serving </w:t>
      </w:r>
      <w:r w:rsidR="002851B4">
        <w:t>194</w:t>
      </w:r>
      <w:r>
        <w:t xml:space="preserve"> customer connections in the requested area.</w:t>
      </w:r>
    </w:p>
    <w:p w14:paraId="573F9352" w14:textId="364BAFAC" w:rsidR="009F2CA5" w:rsidRDefault="009F2CA5">
      <w:pPr>
        <w:pStyle w:val="FoFs"/>
      </w:pPr>
      <w:r>
        <w:t>This is an application to transfer only existing facilities, customers, and service area.</w:t>
      </w:r>
    </w:p>
    <w:p w14:paraId="248EF68A" w14:textId="77777777" w:rsidR="009F2A6B" w:rsidRDefault="00297A2B">
      <w:pPr>
        <w:pStyle w:val="FoFs"/>
      </w:pPr>
      <w:r>
        <w:t>There have been no specific requests for additional service within the requested area.</w:t>
      </w:r>
    </w:p>
    <w:p w14:paraId="1B94D065" w14:textId="77777777" w:rsidR="009F2A6B" w:rsidRDefault="00297A2B">
      <w:pPr>
        <w:pStyle w:val="BodyText"/>
        <w:tabs>
          <w:tab w:val="clear" w:pos="720"/>
        </w:tabs>
        <w:spacing w:before="120" w:after="240" w:line="240" w:lineRule="auto"/>
        <w:ind w:right="130"/>
        <w:rPr>
          <w:b/>
          <w:bCs/>
          <w:i/>
          <w:iCs/>
          <w:snapToGrid w:val="0"/>
          <w:u w:val="single"/>
          <w:lang w:eastAsia="zh-TW"/>
        </w:rPr>
      </w:pPr>
      <w:r>
        <w:rPr>
          <w:b/>
          <w:bCs/>
          <w:i/>
          <w:iCs/>
          <w:snapToGrid w:val="0"/>
          <w:u w:val="single"/>
          <w:lang w:eastAsia="zh-TW"/>
        </w:rPr>
        <w:t>Effect of Approving the Transaction and Granting the Amendment</w:t>
      </w:r>
    </w:p>
    <w:p w14:paraId="370B7860" w14:textId="77777777" w:rsidR="009F2A6B" w:rsidRDefault="00297A2B">
      <w:pPr>
        <w:pStyle w:val="FoFs"/>
      </w:pPr>
      <w:r>
        <w:t>Approving the sale and transfer to proceed and granting the CCN amendment will obligate CSWR-Texas to provide continuous and adequate water and sewer service to current and future customers in the requested area.</w:t>
      </w:r>
    </w:p>
    <w:p w14:paraId="4E15D1DE" w14:textId="77777777" w:rsidR="009F2A6B" w:rsidRDefault="00297A2B">
      <w:pPr>
        <w:pStyle w:val="FoFs"/>
      </w:pPr>
      <w:r>
        <w:t>Because this application is to transfer only existing facilities, customers, and service area, there will be no effect on any other retail public utility servi</w:t>
      </w:r>
      <w:bookmarkStart w:id="5" w:name="_GoBack"/>
      <w:bookmarkEnd w:id="5"/>
      <w:r>
        <w:t>cing the proximate area.</w:t>
      </w:r>
    </w:p>
    <w:p w14:paraId="36210711" w14:textId="3957772B" w:rsidR="009F2A6B" w:rsidRDefault="00297A2B">
      <w:pPr>
        <w:pStyle w:val="FoFs"/>
      </w:pPr>
      <w:r>
        <w:t xml:space="preserve">There will be no effect on landowners because the area is currently certificated.  Any landowners in the requested areas who do not currently receive service from </w:t>
      </w:r>
      <w:r w:rsidR="00F22A16">
        <w:t xml:space="preserve">Intermediary Solutions </w:t>
      </w:r>
      <w:r>
        <w:t>will need to request service from CSWR-Texas if they require service after the transaction has been completed.</w:t>
      </w:r>
    </w:p>
    <w:p w14:paraId="2C18F3B7" w14:textId="77777777" w:rsidR="009F2A6B" w:rsidRDefault="00297A2B">
      <w:pPr>
        <w:pStyle w:val="FoFs"/>
      </w:pPr>
      <w:r>
        <w:t xml:space="preserve">Retail public utilities in the proximate area of the requested areas were provided notice of the transaction and none filed protests, adverse comments, or sought to intervene in this proceeding.  </w:t>
      </w:r>
    </w:p>
    <w:bookmarkEnd w:id="4"/>
    <w:p w14:paraId="544A7378" w14:textId="77777777" w:rsidR="009F2A6B" w:rsidRDefault="00297A2B">
      <w:pPr>
        <w:pStyle w:val="BodyText"/>
        <w:keepNext/>
        <w:tabs>
          <w:tab w:val="clear" w:pos="720"/>
        </w:tabs>
        <w:spacing w:before="120" w:after="240" w:line="240" w:lineRule="auto"/>
        <w:ind w:right="130"/>
      </w:pPr>
      <w:r>
        <w:rPr>
          <w:b/>
          <w:bCs/>
          <w:i/>
          <w:iCs/>
          <w:snapToGrid w:val="0"/>
          <w:u w:val="single"/>
          <w:lang w:eastAsia="zh-TW"/>
        </w:rPr>
        <w:t>Ability to Serve: Managerial and Technical</w:t>
      </w:r>
    </w:p>
    <w:p w14:paraId="473CA114" w14:textId="77777777" w:rsidR="009F2A6B" w:rsidRDefault="00297A2B">
      <w:pPr>
        <w:pStyle w:val="FoFs"/>
      </w:pPr>
      <w:r>
        <w:t>CSWR-Texas owns and operates numerous TCEQ-approved public water systems.</w:t>
      </w:r>
    </w:p>
    <w:p w14:paraId="7BFC57F9" w14:textId="39FA831A" w:rsidR="009F2A6B" w:rsidRDefault="00297A2B">
      <w:pPr>
        <w:pStyle w:val="FoFs"/>
      </w:pPr>
      <w:r>
        <w:t xml:space="preserve">The Commission’s complaint records, which date back to 2017, show 12 complaints against CSWR-Texas. </w:t>
      </w:r>
      <w:r w:rsidR="00DC018C">
        <w:t xml:space="preserve"> </w:t>
      </w:r>
      <w:r>
        <w:t>CSWR-Texas does not have any active violations in the TCEQ database.</w:t>
      </w:r>
    </w:p>
    <w:p w14:paraId="1AC7F840" w14:textId="77777777" w:rsidR="009F2A6B" w:rsidRDefault="00297A2B">
      <w:pPr>
        <w:pStyle w:val="FoFs"/>
      </w:pPr>
      <w:r>
        <w:t>No additional construction is necessary for CSWR-Texas to provide service to the requested area.</w:t>
      </w:r>
    </w:p>
    <w:p w14:paraId="048B6E6B" w14:textId="77777777" w:rsidR="009F2A6B" w:rsidRDefault="00297A2B">
      <w:pPr>
        <w:pStyle w:val="FoFs"/>
      </w:pPr>
      <w:r>
        <w:t>CSWR-Texas employs or contracts with TCEQ-licensed water operators who will operate the public water system.</w:t>
      </w:r>
    </w:p>
    <w:p w14:paraId="7417B711" w14:textId="77777777" w:rsidR="009F2A6B" w:rsidRDefault="00297A2B">
      <w:pPr>
        <w:pStyle w:val="FoFs"/>
      </w:pPr>
      <w:r>
        <w:lastRenderedPageBreak/>
        <w:t>After completion of the planned upgrades, renovations, and repairs to the water system, CSWR-Texas will be capable of providing drinking water that meets applicable state regulatory requirements.</w:t>
      </w:r>
    </w:p>
    <w:p w14:paraId="4CD6E9DB" w14:textId="77777777" w:rsidR="009F2A6B" w:rsidRDefault="00297A2B">
      <w:pPr>
        <w:pStyle w:val="FoFs"/>
      </w:pPr>
      <w:r>
        <w:t>CSWR-Texas has the technical and managerial capability to provide adequate and continuous service to the requested area.</w:t>
      </w:r>
    </w:p>
    <w:p w14:paraId="6BD658F0" w14:textId="77777777" w:rsidR="009F2A6B" w:rsidRDefault="00297A2B">
      <w:pPr>
        <w:pStyle w:val="BodyText"/>
        <w:tabs>
          <w:tab w:val="clear" w:pos="720"/>
        </w:tabs>
        <w:spacing w:before="120" w:after="240" w:line="240" w:lineRule="auto"/>
        <w:ind w:right="130"/>
        <w:rPr>
          <w:snapToGrid w:val="0"/>
          <w:lang w:eastAsia="zh-TW"/>
        </w:rPr>
      </w:pPr>
      <w:r>
        <w:rPr>
          <w:b/>
          <w:bCs/>
          <w:i/>
          <w:iCs/>
          <w:snapToGrid w:val="0"/>
          <w:u w:val="single"/>
          <w:lang w:eastAsia="zh-TW"/>
        </w:rPr>
        <w:t>Ability to Serve: Financial Ability</w:t>
      </w:r>
    </w:p>
    <w:p w14:paraId="191EDBFC" w14:textId="77777777" w:rsidR="009F2A6B" w:rsidRDefault="00297A2B">
      <w:pPr>
        <w:pStyle w:val="FoFs"/>
      </w:pPr>
      <w:r>
        <w:t>CSWR, LLC, the immediate parent company of CSWR-Texas, is capable, available, and willing to cover temporary cash shortages, and has a debt-to-equity ratio of less than one, satisfying the leverage test.</w:t>
      </w:r>
    </w:p>
    <w:p w14:paraId="4FEA227F" w14:textId="77777777" w:rsidR="009F2A6B" w:rsidRDefault="00297A2B">
      <w:pPr>
        <w:pStyle w:val="FoFs"/>
      </w:pPr>
      <w:r>
        <w:t>CSWR, LLC provided a written guarantee of coverage of temporary cash shortages and demonstrated that it has sufficient cash available to cover any projected operations and maintenance shortages in the first five years of operations after completion of the transaction and possesses the cash and leverage ability to pay for capital improvements and necessary equity investments, satisfying the operations test.</w:t>
      </w:r>
    </w:p>
    <w:p w14:paraId="643A34B5" w14:textId="77777777" w:rsidR="009F2A6B" w:rsidRDefault="00297A2B">
      <w:pPr>
        <w:pStyle w:val="FoFs"/>
      </w:pPr>
      <w:r>
        <w:t>CSWR-Texas projects no operating shortages.</w:t>
      </w:r>
    </w:p>
    <w:p w14:paraId="2804E40A" w14:textId="77777777" w:rsidR="009F2A6B" w:rsidRDefault="00297A2B">
      <w:pPr>
        <w:pStyle w:val="FoFs"/>
      </w:pPr>
      <w:r>
        <w:t>CSWR-Texas demonstrated the financial and managerial ability and stability to provide continuous and adequate service to the requested area.</w:t>
      </w:r>
    </w:p>
    <w:p w14:paraId="5EAD16C4" w14:textId="77777777" w:rsidR="009F2A6B" w:rsidRDefault="00297A2B">
      <w:pPr>
        <w:pStyle w:val="BodyText"/>
        <w:keepNext/>
        <w:tabs>
          <w:tab w:val="clear" w:pos="720"/>
        </w:tabs>
        <w:spacing w:before="120" w:after="240" w:line="240" w:lineRule="auto"/>
        <w:ind w:right="130"/>
        <w:rPr>
          <w:b/>
          <w:bCs/>
          <w:i/>
          <w:iCs/>
          <w:snapToGrid w:val="0"/>
          <w:u w:val="single"/>
          <w:lang w:eastAsia="zh-TW"/>
        </w:rPr>
      </w:pPr>
      <w:r>
        <w:rPr>
          <w:b/>
          <w:bCs/>
          <w:i/>
          <w:iCs/>
          <w:snapToGrid w:val="0"/>
          <w:u w:val="single"/>
          <w:lang w:eastAsia="zh-TW"/>
        </w:rPr>
        <w:t>Financial Assurance</w:t>
      </w:r>
    </w:p>
    <w:p w14:paraId="314F53D1" w14:textId="77777777" w:rsidR="009F2A6B" w:rsidRDefault="00297A2B">
      <w:pPr>
        <w:pStyle w:val="FoFs"/>
      </w:pPr>
      <w:r>
        <w:t>There is no need to require CSWR-Texas to provide a bond or other financial assurance to ensure continuous and adequate service.</w:t>
      </w:r>
    </w:p>
    <w:p w14:paraId="4A7C3C94" w14:textId="77777777" w:rsidR="009F2A6B" w:rsidRDefault="00297A2B">
      <w:pPr>
        <w:pStyle w:val="BodyText"/>
        <w:tabs>
          <w:tab w:val="clear" w:pos="720"/>
        </w:tabs>
        <w:spacing w:before="120" w:after="240" w:line="240" w:lineRule="auto"/>
        <w:ind w:right="130"/>
        <w:rPr>
          <w:b/>
          <w:bCs/>
          <w:i/>
          <w:iCs/>
          <w:snapToGrid w:val="0"/>
          <w:u w:val="single"/>
          <w:lang w:eastAsia="zh-TW"/>
        </w:rPr>
      </w:pPr>
      <w:r>
        <w:rPr>
          <w:b/>
          <w:bCs/>
          <w:i/>
          <w:iCs/>
          <w:snapToGrid w:val="0"/>
          <w:u w:val="single"/>
          <w:lang w:eastAsia="zh-TW"/>
        </w:rPr>
        <w:t>Feasibility of Obtaining Service from Adjacent Retail Public Utility</w:t>
      </w:r>
    </w:p>
    <w:p w14:paraId="1B2CDD7F" w14:textId="0754C7B0" w:rsidR="009F2A6B" w:rsidRDefault="00F44790">
      <w:pPr>
        <w:pStyle w:val="FoFs"/>
      </w:pPr>
      <w:r>
        <w:rPr>
          <w:lang w:eastAsia="zh-TW"/>
        </w:rPr>
        <w:t>Intermediary Solutions</w:t>
      </w:r>
      <w:r w:rsidR="00297A2B">
        <w:t xml:space="preserve"> is currently serving customers and has sufficient capacity. </w:t>
      </w:r>
    </w:p>
    <w:p w14:paraId="233A21E9" w14:textId="1EA7A5F5" w:rsidR="009F2A6B" w:rsidRDefault="00297A2B">
      <w:pPr>
        <w:pStyle w:val="FoFs"/>
      </w:pPr>
      <w:r>
        <w:t xml:space="preserve">Obtaining service from an adjacent retail public utility would likely increase costs to customers because new facilities would need to be constructed. </w:t>
      </w:r>
      <w:r w:rsidR="00DC018C">
        <w:t xml:space="preserve"> </w:t>
      </w:r>
      <w:r>
        <w:t xml:space="preserve">At a minimum, an interconnect would need to be installed in order to connect to a neighboring retail public utility. </w:t>
      </w:r>
      <w:r w:rsidR="00DC018C">
        <w:t xml:space="preserve"> </w:t>
      </w:r>
      <w:r>
        <w:t xml:space="preserve">Therefore, it is not feasible to obtain service from an adjacent retail public utility.  </w:t>
      </w:r>
    </w:p>
    <w:p w14:paraId="0833BA25" w14:textId="77777777" w:rsidR="009F2A6B" w:rsidRDefault="00297A2B">
      <w:pPr>
        <w:pStyle w:val="FoFs"/>
        <w:tabs>
          <w:tab w:val="clear" w:pos="720"/>
        </w:tabs>
        <w:ind w:left="630" w:hanging="630"/>
      </w:pPr>
      <w:r>
        <w:t>There will be no changes to land uses or existing CCN boundaries.</w:t>
      </w:r>
    </w:p>
    <w:p w14:paraId="4378D065" w14:textId="77777777" w:rsidR="009F2A6B" w:rsidRDefault="00297A2B">
      <w:pPr>
        <w:pStyle w:val="FoFs"/>
        <w:tabs>
          <w:tab w:val="clear" w:pos="720"/>
          <w:tab w:val="left" w:pos="630"/>
        </w:tabs>
        <w:ind w:left="630" w:hanging="630"/>
      </w:pPr>
      <w:r>
        <w:lastRenderedPageBreak/>
        <w:t>Obtaining service from an adjacent retail public utility would likely increase costs to customers because new facilities will need to be constructed.  At the minimum, an interconnect would need to be installed in order to connect to a neighboring retail public utility.  Therefore, it is not feasible to obtain service from an adjacent retail publi</w:t>
      </w:r>
      <w:r>
        <w:rPr>
          <w:color w:val="000000"/>
        </w:rPr>
        <w:t>c utility.</w:t>
      </w:r>
    </w:p>
    <w:p w14:paraId="0CDF79F4" w14:textId="77777777" w:rsidR="009F2A6B" w:rsidRDefault="00297A2B">
      <w:pPr>
        <w:pStyle w:val="BodyText"/>
        <w:keepNext/>
        <w:tabs>
          <w:tab w:val="clear" w:pos="720"/>
        </w:tabs>
        <w:spacing w:before="120" w:after="240" w:line="240" w:lineRule="auto"/>
        <w:ind w:right="130"/>
        <w:rPr>
          <w:b/>
          <w:bCs/>
          <w:i/>
          <w:iCs/>
          <w:snapToGrid w:val="0"/>
          <w:u w:val="single"/>
          <w:lang w:eastAsia="zh-TW"/>
        </w:rPr>
      </w:pPr>
      <w:r>
        <w:rPr>
          <w:b/>
          <w:bCs/>
          <w:i/>
          <w:iCs/>
          <w:snapToGrid w:val="0"/>
          <w:u w:val="single"/>
          <w:lang w:eastAsia="zh-TW"/>
        </w:rPr>
        <w:t>Environmental Integrity and Effect on the Land</w:t>
      </w:r>
    </w:p>
    <w:p w14:paraId="74562F26" w14:textId="77777777" w:rsidR="009F2A6B" w:rsidRDefault="00297A2B">
      <w:pPr>
        <w:pStyle w:val="FoFs"/>
        <w:tabs>
          <w:tab w:val="clear" w:pos="720"/>
        </w:tabs>
        <w:ind w:left="630" w:hanging="630"/>
      </w:pPr>
      <w:r>
        <w:t xml:space="preserve">The requested areas will continue to be served with existing infrastructure.  </w:t>
      </w:r>
    </w:p>
    <w:p w14:paraId="295BB6C6" w14:textId="77777777" w:rsidR="009F2A6B" w:rsidRDefault="00297A2B">
      <w:pPr>
        <w:pStyle w:val="FoFs"/>
        <w:tabs>
          <w:tab w:val="clear" w:pos="720"/>
        </w:tabs>
        <w:ind w:left="630" w:hanging="630"/>
      </w:pPr>
      <w:r>
        <w:t xml:space="preserve">There will be minimal effects on environmental integrity and on the land as a result of CSWR-Texas’s planned upgrades, renovations, and repairs to the public water and sewer systems. </w:t>
      </w:r>
    </w:p>
    <w:p w14:paraId="3E7F880C" w14:textId="77777777" w:rsidR="009F2A6B" w:rsidRDefault="00297A2B">
      <w:pPr>
        <w:pStyle w:val="BodyText"/>
        <w:keepNext/>
        <w:keepLines/>
        <w:tabs>
          <w:tab w:val="clear" w:pos="720"/>
        </w:tabs>
        <w:spacing w:before="120" w:after="240" w:line="240" w:lineRule="auto"/>
        <w:ind w:right="130"/>
        <w:rPr>
          <w:b/>
          <w:bCs/>
          <w:i/>
          <w:iCs/>
          <w:snapToGrid w:val="0"/>
          <w:u w:val="single"/>
          <w:lang w:eastAsia="zh-TW"/>
        </w:rPr>
      </w:pPr>
      <w:r>
        <w:rPr>
          <w:b/>
          <w:bCs/>
          <w:i/>
          <w:iCs/>
          <w:snapToGrid w:val="0"/>
          <w:u w:val="single"/>
          <w:lang w:eastAsia="zh-TW"/>
        </w:rPr>
        <w:t>Improvement of Service or Lowering Cost to Consumers</w:t>
      </w:r>
    </w:p>
    <w:p w14:paraId="3D92FE17" w14:textId="77777777" w:rsidR="009F2A6B" w:rsidRDefault="00297A2B">
      <w:pPr>
        <w:numPr>
          <w:ilvl w:val="0"/>
          <w:numId w:val="5"/>
        </w:numPr>
        <w:tabs>
          <w:tab w:val="clear" w:pos="720"/>
        </w:tabs>
        <w:spacing w:after="120" w:line="360" w:lineRule="auto"/>
        <w:ind w:left="630" w:right="130" w:hanging="630"/>
        <w:rPr>
          <w:rFonts w:eastAsia="SimSun"/>
          <w:lang w:eastAsia="zh-CN"/>
        </w:rPr>
      </w:pPr>
      <w:bookmarkStart w:id="6" w:name="_Hlk45790330"/>
      <w:r>
        <w:rPr>
          <w:rFonts w:eastAsia="SimSun"/>
          <w:lang w:eastAsia="zh-CN"/>
        </w:rPr>
        <w:t xml:space="preserve">The rates charged to customers in the requested area will not change as a result of the proposed transaction because CSWR-Texas will adopt the currently in effect tariff for the water system upon consummation of the transaction. </w:t>
      </w:r>
    </w:p>
    <w:p w14:paraId="4B2A8801" w14:textId="77777777" w:rsidR="009F2A6B" w:rsidRDefault="00297A2B">
      <w:pPr>
        <w:pStyle w:val="FoFs"/>
        <w:tabs>
          <w:tab w:val="clear" w:pos="720"/>
        </w:tabs>
        <w:ind w:left="630" w:hanging="630"/>
      </w:pPr>
      <w:r>
        <w:t>Reliability and quality of water service is expected to improve under CSWR-Texas’s management</w:t>
      </w:r>
      <w:r w:rsidR="00290946">
        <w:t>.</w:t>
      </w:r>
    </w:p>
    <w:bookmarkEnd w:id="6"/>
    <w:p w14:paraId="39B06B6D" w14:textId="77777777" w:rsidR="009F2A6B" w:rsidRDefault="00297A2B">
      <w:pPr>
        <w:pStyle w:val="BodyText"/>
        <w:tabs>
          <w:tab w:val="clear" w:pos="720"/>
        </w:tabs>
        <w:spacing w:before="120" w:after="240" w:line="240" w:lineRule="auto"/>
        <w:ind w:right="130"/>
        <w:rPr>
          <w:b/>
          <w:bCs/>
          <w:snapToGrid w:val="0"/>
          <w:u w:val="single"/>
          <w:lang w:eastAsia="zh-TW"/>
        </w:rPr>
      </w:pPr>
      <w:r>
        <w:rPr>
          <w:b/>
          <w:bCs/>
          <w:i/>
          <w:iCs/>
          <w:snapToGrid w:val="0"/>
          <w:u w:val="single"/>
          <w:lang w:eastAsia="zh-TW"/>
        </w:rPr>
        <w:t>Regionalization or Consolidation</w:t>
      </w:r>
    </w:p>
    <w:p w14:paraId="4015FF00" w14:textId="2096691E" w:rsidR="009F2A6B" w:rsidRDefault="00297A2B" w:rsidP="009F2CA5">
      <w:pPr>
        <w:pStyle w:val="FoFs"/>
        <w:spacing w:before="120" w:after="0"/>
        <w:ind w:hanging="720"/>
      </w:pPr>
      <w:r>
        <w:t xml:space="preserve">The construction of a physically separate system is not necessary for CSWR-Texas to serve the requested area. </w:t>
      </w:r>
      <w:r w:rsidR="00DC018C">
        <w:t xml:space="preserve"> </w:t>
      </w:r>
      <w:r>
        <w:t>Therefore, concerns of regionalization or consolidation do not apply.</w:t>
      </w:r>
    </w:p>
    <w:p w14:paraId="26E48B01" w14:textId="77777777" w:rsidR="009F2A6B" w:rsidRDefault="00297A2B" w:rsidP="00DC018C">
      <w:pPr>
        <w:pStyle w:val="BodyText"/>
        <w:numPr>
          <w:ilvl w:val="0"/>
          <w:numId w:val="4"/>
        </w:numPr>
        <w:tabs>
          <w:tab w:val="clear" w:pos="720"/>
        </w:tabs>
        <w:spacing w:after="240" w:line="240" w:lineRule="auto"/>
        <w:ind w:left="720" w:right="130"/>
        <w:jc w:val="center"/>
        <w:rPr>
          <w:b/>
          <w:bCs/>
          <w:snapToGrid w:val="0"/>
          <w:lang w:eastAsia="zh-TW"/>
        </w:rPr>
      </w:pPr>
      <w:r>
        <w:rPr>
          <w:b/>
          <w:bCs/>
          <w:snapToGrid w:val="0"/>
          <w:lang w:eastAsia="zh-TW"/>
        </w:rPr>
        <w:t>Conclusions of Law</w:t>
      </w:r>
    </w:p>
    <w:p w14:paraId="28B55D56" w14:textId="77777777" w:rsidR="009F2A6B" w:rsidRDefault="00297A2B">
      <w:pPr>
        <w:pStyle w:val="BodyText"/>
        <w:tabs>
          <w:tab w:val="clear" w:pos="720"/>
        </w:tabs>
        <w:spacing w:after="0"/>
        <w:ind w:left="720" w:right="130"/>
        <w:rPr>
          <w:snapToGrid w:val="0"/>
          <w:lang w:eastAsia="zh-TW"/>
        </w:rPr>
      </w:pPr>
      <w:r>
        <w:rPr>
          <w:snapToGrid w:val="0"/>
          <w:lang w:eastAsia="zh-TW"/>
        </w:rPr>
        <w:t>The Commission makes the following conclusions of law:</w:t>
      </w:r>
    </w:p>
    <w:p w14:paraId="6786D56F" w14:textId="77777777" w:rsidR="00BF3A71" w:rsidRPr="00D57106" w:rsidRDefault="00BF3A71" w:rsidP="00BF3A71">
      <w:pPr>
        <w:pStyle w:val="FoFs"/>
        <w:numPr>
          <w:ilvl w:val="0"/>
          <w:numId w:val="6"/>
        </w:numPr>
        <w:ind w:hanging="720"/>
      </w:pPr>
      <w:r>
        <w:t xml:space="preserve">The applicants </w:t>
      </w:r>
      <w:r w:rsidRPr="00D57106">
        <w:t xml:space="preserve">provided </w:t>
      </w:r>
      <w:r>
        <w:t>notice of the application that</w:t>
      </w:r>
      <w:r w:rsidRPr="00D57106">
        <w:t xml:space="preserve"> compli</w:t>
      </w:r>
      <w:r>
        <w:t>es</w:t>
      </w:r>
      <w:r w:rsidRPr="00D57106">
        <w:t xml:space="preserve"> with TWC §</w:t>
      </w:r>
      <w:r>
        <w:t>§</w:t>
      </w:r>
      <w:r w:rsidRPr="00D57106">
        <w:t xml:space="preserve"> 13.246 and </w:t>
      </w:r>
      <w:r>
        <w:t xml:space="preserve">13.301(a)(1) and </w:t>
      </w:r>
      <w:r w:rsidRPr="00D57106">
        <w:t>16</w:t>
      </w:r>
      <w:r>
        <w:t xml:space="preserve"> Texas Administrative Code</w:t>
      </w:r>
      <w:r w:rsidRPr="00D57106">
        <w:t xml:space="preserve"> </w:t>
      </w:r>
      <w:r>
        <w:t>(</w:t>
      </w:r>
      <w:r w:rsidRPr="00D57106">
        <w:t>TAC</w:t>
      </w:r>
      <w:r>
        <w:t>)</w:t>
      </w:r>
      <w:r w:rsidRPr="00D57106">
        <w:t xml:space="preserve"> § 24.239.</w:t>
      </w:r>
    </w:p>
    <w:p w14:paraId="3AB6FFEE" w14:textId="77777777" w:rsidR="00BF3A71" w:rsidRDefault="00BF3A71" w:rsidP="007A48EF">
      <w:pPr>
        <w:pStyle w:val="FoFs"/>
        <w:ind w:hanging="720"/>
      </w:pPr>
      <w:r>
        <w:t xml:space="preserve">After </w:t>
      </w:r>
      <w:r w:rsidRPr="003F475C">
        <w:t>consideration of</w:t>
      </w:r>
      <w:r>
        <w:t xml:space="preserve"> the factors in TWC </w:t>
      </w:r>
      <w:r w:rsidRPr="000E045C">
        <w:t>§ 13.24</w:t>
      </w:r>
      <w:r>
        <w:t xml:space="preserve">6(c), CSWR-Texas demonstrated adequate financial, managerial, and technical capability for providing adequate and continuous service to the requested area as required by TWC </w:t>
      </w:r>
      <w:r w:rsidRPr="000E045C">
        <w:t>§</w:t>
      </w:r>
      <w:r>
        <w:t xml:space="preserve"> 13.301(b).</w:t>
      </w:r>
    </w:p>
    <w:p w14:paraId="198529ED" w14:textId="77777777" w:rsidR="00BF3A71" w:rsidRPr="004C7BB6" w:rsidRDefault="00BF3A71" w:rsidP="007A48EF">
      <w:pPr>
        <w:pStyle w:val="FoFs"/>
        <w:ind w:hanging="720"/>
      </w:pPr>
      <w:r w:rsidRPr="004C7BB6">
        <w:t>It is not necessary for CSWR</w:t>
      </w:r>
      <w:r>
        <w:t>-</w:t>
      </w:r>
      <w:r w:rsidRPr="004C7BB6">
        <w:t>Texas to provide bond or other financial assurance under TWC §§ 13.246(d) and 13.301(c).</w:t>
      </w:r>
    </w:p>
    <w:p w14:paraId="24A6221F" w14:textId="1B10CCB8" w:rsidR="00BF3A71" w:rsidRDefault="00BF3A71" w:rsidP="007A48EF">
      <w:pPr>
        <w:pStyle w:val="FoFs"/>
        <w:spacing w:after="0"/>
        <w:ind w:hanging="720"/>
      </w:pPr>
      <w:r>
        <w:lastRenderedPageBreak/>
        <w:t>The applicants</w:t>
      </w:r>
      <w:r>
        <w:rPr>
          <w:lang w:eastAsia="zh-TW"/>
        </w:rPr>
        <w:t xml:space="preserve"> </w:t>
      </w:r>
      <w:r>
        <w:t xml:space="preserve">have demonstrated that the sale of </w:t>
      </w:r>
      <w:r w:rsidR="0058068A">
        <w:rPr>
          <w:lang w:eastAsia="zh-TW"/>
        </w:rPr>
        <w:t>Intermediary Solutions’</w:t>
      </w:r>
      <w:r>
        <w:t xml:space="preserve"> facilities to CSWR</w:t>
      </w:r>
      <w:r>
        <w:noBreakHyphen/>
        <w:t xml:space="preserve">Texas will serve the public interest and is necessary for the service, accommodation, convenience, and safety of the public under TWC </w:t>
      </w:r>
      <w:r w:rsidRPr="000E045C">
        <w:t>§</w:t>
      </w:r>
      <w:r>
        <w:t xml:space="preserve"> 13.301(d) and (e).</w:t>
      </w:r>
    </w:p>
    <w:p w14:paraId="2B839A53" w14:textId="77777777" w:rsidR="009F2A6B" w:rsidRDefault="00297A2B" w:rsidP="00DF6A15">
      <w:pPr>
        <w:pStyle w:val="BodyText"/>
        <w:keepNext/>
        <w:keepLines/>
        <w:numPr>
          <w:ilvl w:val="0"/>
          <w:numId w:val="4"/>
        </w:numPr>
        <w:tabs>
          <w:tab w:val="clear" w:pos="720"/>
        </w:tabs>
        <w:spacing w:before="120"/>
        <w:ind w:left="720" w:right="130"/>
        <w:jc w:val="center"/>
        <w:rPr>
          <w:b/>
          <w:bCs/>
          <w:snapToGrid w:val="0"/>
          <w:lang w:eastAsia="zh-TW"/>
        </w:rPr>
      </w:pPr>
      <w:r>
        <w:rPr>
          <w:b/>
          <w:bCs/>
          <w:snapToGrid w:val="0"/>
          <w:lang w:eastAsia="zh-TW"/>
        </w:rPr>
        <w:t>Ordering Paragraphs</w:t>
      </w:r>
    </w:p>
    <w:p w14:paraId="72C43F10" w14:textId="77777777" w:rsidR="009F2A6B" w:rsidRDefault="00297A2B">
      <w:pPr>
        <w:pStyle w:val="BodyText"/>
        <w:keepNext/>
        <w:keepLines/>
        <w:spacing w:after="0"/>
        <w:ind w:left="720" w:right="130"/>
      </w:pPr>
      <w:r>
        <w:t>In accordance with the preceding findings of fact and conclusions of law, the Commission enters the following orders.</w:t>
      </w:r>
    </w:p>
    <w:p w14:paraId="6DB42BA4" w14:textId="38377B78" w:rsidR="009F2A6B" w:rsidRDefault="00297A2B">
      <w:pPr>
        <w:pStyle w:val="FoFs"/>
        <w:numPr>
          <w:ilvl w:val="0"/>
          <w:numId w:val="9"/>
        </w:numPr>
        <w:ind w:hanging="720"/>
      </w:pPr>
      <w:r>
        <w:t xml:space="preserve">The sale is approved, and the transaction between </w:t>
      </w:r>
      <w:r w:rsidR="00E05D37">
        <w:rPr>
          <w:lang w:eastAsia="zh-TW"/>
        </w:rPr>
        <w:t>the applicants</w:t>
      </w:r>
      <w:r>
        <w:t xml:space="preserve"> may proceed and be consummated.</w:t>
      </w:r>
    </w:p>
    <w:p w14:paraId="137842F5" w14:textId="5FFE6141" w:rsidR="009F2A6B" w:rsidRDefault="00297A2B" w:rsidP="007A48EF">
      <w:pPr>
        <w:pStyle w:val="FoFs"/>
        <w:ind w:hanging="720"/>
      </w:pPr>
      <w:r>
        <w:t xml:space="preserve">As soon as possible after the effective date of the transaction, but not later than 30 days after the effective date, </w:t>
      </w:r>
      <w:r w:rsidR="00236D26">
        <w:t>the applicants</w:t>
      </w:r>
      <w:r>
        <w:t xml:space="preserve"> must file proof that the transaction has been consummated and customer deposits, if any, have been addressed.</w:t>
      </w:r>
    </w:p>
    <w:p w14:paraId="07AD786A" w14:textId="51A45065" w:rsidR="009F2A6B" w:rsidRDefault="00025339" w:rsidP="007A48EF">
      <w:pPr>
        <w:pStyle w:val="FoFs"/>
        <w:ind w:hanging="720"/>
      </w:pPr>
      <w:r>
        <w:t>The applicants</w:t>
      </w:r>
      <w:r w:rsidR="00297A2B">
        <w:t xml:space="preserve"> have 180 days to complete the transaction.</w:t>
      </w:r>
    </w:p>
    <w:p w14:paraId="24F131F5" w14:textId="60C1AA3A" w:rsidR="009F2A6B" w:rsidRDefault="00297A2B" w:rsidP="007A48EF">
      <w:pPr>
        <w:pStyle w:val="FoFs"/>
        <w:ind w:hanging="720"/>
      </w:pPr>
      <w:r>
        <w:t xml:space="preserve">Under 16 TAC § 24.239(m), if the transaction is not consummated within this 180-day period, or an extension is not granted, this approval is void, and </w:t>
      </w:r>
      <w:r w:rsidR="001824CC">
        <w:t>the applicants</w:t>
      </w:r>
      <w:r>
        <w:t xml:space="preserve"> will have to reapply for approval.</w:t>
      </w:r>
    </w:p>
    <w:p w14:paraId="5416475D" w14:textId="5F2D7B15" w:rsidR="009F2A6B" w:rsidRDefault="00402527" w:rsidP="007A48EF">
      <w:pPr>
        <w:pStyle w:val="FoFs"/>
        <w:ind w:hanging="720"/>
      </w:pPr>
      <w:r>
        <w:t>The applicants</w:t>
      </w:r>
      <w:r w:rsidR="00297A2B">
        <w:t xml:space="preserve"> are advised that the requested areas and associated facilities will remain under water CCN number </w:t>
      </w:r>
      <w:r w:rsidR="00D779C2">
        <w:t>121</w:t>
      </w:r>
      <w:r w:rsidR="00160997">
        <w:t>79</w:t>
      </w:r>
      <w:r w:rsidR="00297A2B">
        <w:t xml:space="preserve"> and held by </w:t>
      </w:r>
      <w:r w:rsidR="00160997">
        <w:t>Intermediary Solutions</w:t>
      </w:r>
      <w:r w:rsidR="00297A2B">
        <w:t xml:space="preserve"> until the sale and transfer transaction is complete, in accordance with Commission rules.</w:t>
      </w:r>
    </w:p>
    <w:p w14:paraId="75BC9FEF" w14:textId="31DC3806" w:rsidR="009F2A6B" w:rsidRDefault="00297A2B" w:rsidP="007A48EF">
      <w:pPr>
        <w:pStyle w:val="FoFs"/>
        <w:ind w:hanging="720"/>
      </w:pPr>
      <w:r>
        <w:t xml:space="preserve">In an effort to finalize this case as soon as possible, </w:t>
      </w:r>
      <w:r w:rsidR="004C1B5B">
        <w:t>the applicants</w:t>
      </w:r>
      <w:r>
        <w:t xml:space="preserve"> must continue to file monthly updates regarding the status of the closing and submit documents evidencing that the transaction was consummated.</w:t>
      </w:r>
    </w:p>
    <w:p w14:paraId="60509C44" w14:textId="7AA999FC" w:rsidR="009F2A6B" w:rsidRDefault="00297A2B" w:rsidP="007A48EF">
      <w:pPr>
        <w:pStyle w:val="FoFs"/>
        <w:ind w:hanging="720"/>
      </w:pPr>
      <w:r>
        <w:t>Within 15 days following the filing of proof that the transaction has been consummated and customer deposits, if any, have been addressed, Commission Staff must file a recommendation regarding the sufficiency of the documents and propose a schedule for continued processing of this docket.</w:t>
      </w:r>
    </w:p>
    <w:p w14:paraId="0F87D411" w14:textId="0583AB2A" w:rsidR="009F2A6B" w:rsidRDefault="00297A2B">
      <w:pPr>
        <w:pStyle w:val="BodyText"/>
        <w:keepNext/>
        <w:ind w:left="720" w:right="131"/>
        <w:rPr>
          <w:b/>
          <w:bCs/>
          <w:snapToGrid w:val="0"/>
          <w:lang w:eastAsia="zh-TW"/>
        </w:rPr>
      </w:pPr>
      <w:r>
        <w:rPr>
          <w:b/>
          <w:bCs/>
          <w:snapToGrid w:val="0"/>
          <w:lang w:eastAsia="zh-TW"/>
        </w:rPr>
        <w:lastRenderedPageBreak/>
        <w:t>Signed at Austin, Texas the _____ day of _____</w:t>
      </w:r>
      <w:r w:rsidR="00111D9B">
        <w:rPr>
          <w:b/>
          <w:bCs/>
          <w:snapToGrid w:val="0"/>
          <w:lang w:eastAsia="zh-TW"/>
        </w:rPr>
        <w:t>____________</w:t>
      </w:r>
      <w:r>
        <w:rPr>
          <w:b/>
          <w:bCs/>
          <w:snapToGrid w:val="0"/>
          <w:lang w:eastAsia="zh-TW"/>
        </w:rPr>
        <w:t>___ 2023.</w:t>
      </w:r>
    </w:p>
    <w:p w14:paraId="68DF5136" w14:textId="77777777" w:rsidR="009F2A6B" w:rsidRDefault="00297A2B">
      <w:pPr>
        <w:keepNext/>
        <w:rPr>
          <w:b/>
          <w:bCs/>
        </w:rPr>
      </w:pPr>
      <w:r>
        <w:tab/>
      </w:r>
      <w:r>
        <w:tab/>
      </w:r>
      <w:r>
        <w:tab/>
      </w:r>
      <w:r>
        <w:tab/>
      </w:r>
      <w:r>
        <w:tab/>
      </w:r>
      <w:r>
        <w:tab/>
      </w:r>
      <w:r>
        <w:rPr>
          <w:b/>
          <w:bCs/>
        </w:rPr>
        <w:t>PUBLIC UTILITY COMMISSION OF TEXAS</w:t>
      </w:r>
    </w:p>
    <w:p w14:paraId="5A3B77EE" w14:textId="77777777" w:rsidR="009F2A6B" w:rsidRPr="00DC018C" w:rsidRDefault="009F2A6B">
      <w:pPr>
        <w:keepNext/>
        <w:rPr>
          <w:bCs/>
        </w:rPr>
      </w:pPr>
    </w:p>
    <w:p w14:paraId="3674D435" w14:textId="77777777" w:rsidR="009F2A6B" w:rsidRPr="00DC018C" w:rsidRDefault="009F2A6B">
      <w:pPr>
        <w:keepNext/>
        <w:rPr>
          <w:bCs/>
        </w:rPr>
      </w:pPr>
    </w:p>
    <w:p w14:paraId="3AFDBA90" w14:textId="77777777" w:rsidR="009F2A6B" w:rsidRPr="00DC018C" w:rsidRDefault="009F2A6B">
      <w:pPr>
        <w:keepNext/>
        <w:rPr>
          <w:bCs/>
        </w:rPr>
      </w:pPr>
    </w:p>
    <w:p w14:paraId="7C8B88AC" w14:textId="77777777" w:rsidR="009F2A6B" w:rsidRDefault="00297A2B">
      <w:pPr>
        <w:keepNext/>
        <w:rPr>
          <w:b/>
          <w:bCs/>
        </w:rPr>
      </w:pPr>
      <w:r>
        <w:rPr>
          <w:b/>
          <w:bCs/>
        </w:rPr>
        <w:tab/>
      </w:r>
      <w:r>
        <w:rPr>
          <w:b/>
          <w:bCs/>
        </w:rPr>
        <w:tab/>
      </w:r>
      <w:r>
        <w:rPr>
          <w:b/>
          <w:bCs/>
        </w:rPr>
        <w:tab/>
      </w:r>
      <w:r>
        <w:rPr>
          <w:b/>
          <w:bCs/>
        </w:rPr>
        <w:tab/>
      </w:r>
      <w:r>
        <w:rPr>
          <w:b/>
          <w:bCs/>
        </w:rPr>
        <w:tab/>
      </w:r>
      <w:r>
        <w:rPr>
          <w:b/>
          <w:bCs/>
        </w:rPr>
        <w:tab/>
        <w:t>__________________________________________</w:t>
      </w:r>
    </w:p>
    <w:p w14:paraId="10072F84" w14:textId="3C19C913" w:rsidR="009F2A6B" w:rsidRDefault="00297A2B">
      <w:pPr>
        <w:keepNext/>
        <w:rPr>
          <w:b/>
          <w:bCs/>
        </w:rPr>
      </w:pPr>
      <w:r>
        <w:rPr>
          <w:b/>
          <w:bCs/>
        </w:rPr>
        <w:tab/>
      </w:r>
      <w:r>
        <w:rPr>
          <w:b/>
          <w:bCs/>
        </w:rPr>
        <w:tab/>
      </w:r>
      <w:r>
        <w:rPr>
          <w:b/>
          <w:bCs/>
        </w:rPr>
        <w:tab/>
      </w:r>
      <w:r>
        <w:rPr>
          <w:b/>
          <w:bCs/>
        </w:rPr>
        <w:tab/>
      </w:r>
      <w:r>
        <w:rPr>
          <w:b/>
          <w:bCs/>
        </w:rPr>
        <w:tab/>
      </w:r>
      <w:r>
        <w:rPr>
          <w:b/>
          <w:bCs/>
        </w:rPr>
        <w:tab/>
      </w:r>
      <w:r w:rsidR="003F2953">
        <w:rPr>
          <w:b/>
          <w:bCs/>
        </w:rPr>
        <w:t>KATIE MOORE MARX</w:t>
      </w:r>
    </w:p>
    <w:p w14:paraId="7EB68655" w14:textId="77777777" w:rsidR="009F2A6B" w:rsidRDefault="00297A2B">
      <w:pPr>
        <w:keepNext/>
        <w:rPr>
          <w:b/>
          <w:bCs/>
        </w:rPr>
      </w:pPr>
      <w:r>
        <w:rPr>
          <w:b/>
          <w:bCs/>
        </w:rPr>
        <w:tab/>
      </w:r>
      <w:r>
        <w:rPr>
          <w:b/>
          <w:bCs/>
        </w:rPr>
        <w:tab/>
      </w:r>
      <w:r>
        <w:rPr>
          <w:b/>
          <w:bCs/>
        </w:rPr>
        <w:tab/>
      </w:r>
      <w:r>
        <w:rPr>
          <w:b/>
          <w:bCs/>
        </w:rPr>
        <w:tab/>
      </w:r>
      <w:r>
        <w:rPr>
          <w:b/>
          <w:bCs/>
        </w:rPr>
        <w:tab/>
      </w:r>
      <w:r>
        <w:rPr>
          <w:b/>
          <w:bCs/>
        </w:rPr>
        <w:tab/>
        <w:t>ADMINISTRATIVE LAW JUDGE</w:t>
      </w:r>
    </w:p>
    <w:sectPr w:rsidR="009F2A6B" w:rsidSect="00DF6A15">
      <w:headerReference w:type="default" r:id="rId8"/>
      <w:footerReference w:type="default" r:id="rId9"/>
      <w:headerReference w:type="first" r:id="rId10"/>
      <w:footerReference w:type="first" r:id="rId11"/>
      <w:footnotePr>
        <w:numRestart w:val="eachSect"/>
      </w:footnotePr>
      <w:pgSz w:w="12240" w:h="15840" w:code="1"/>
      <w:pgMar w:top="1440" w:right="1440" w:bottom="1440" w:left="1440"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BD5528" w14:textId="77777777" w:rsidR="00323E4D" w:rsidRDefault="00323E4D">
      <w:r>
        <w:separator/>
      </w:r>
    </w:p>
  </w:endnote>
  <w:endnote w:type="continuationSeparator" w:id="0">
    <w:p w14:paraId="7B5954A8" w14:textId="77777777" w:rsidR="00323E4D" w:rsidRDefault="00323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EE3C" w14:textId="77777777" w:rsidR="009F2A6B" w:rsidRDefault="009F2A6B">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C3340" w14:textId="77777777" w:rsidR="009F2A6B" w:rsidRDefault="00297A2B">
    <w:pPr>
      <w:pStyle w:val="Footer"/>
      <w:tabs>
        <w:tab w:val="left" w:pos="5277"/>
      </w:tabs>
      <w:jc w:val="left"/>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22DF54" w14:textId="77777777" w:rsidR="00323E4D" w:rsidRDefault="00323E4D">
      <w:r>
        <w:separator/>
      </w:r>
    </w:p>
  </w:footnote>
  <w:footnote w:type="continuationSeparator" w:id="0">
    <w:p w14:paraId="0D418FA6" w14:textId="77777777" w:rsidR="00323E4D" w:rsidRDefault="00323E4D">
      <w:r>
        <w:continuationSeparator/>
      </w:r>
    </w:p>
  </w:footnote>
  <w:footnote w:id="1">
    <w:p w14:paraId="0AC358F6" w14:textId="4443B6B1" w:rsidR="009F2A6B" w:rsidRPr="002600AF" w:rsidRDefault="00297A2B">
      <w:pPr>
        <w:pStyle w:val="FootnoteText"/>
      </w:pPr>
      <w:r w:rsidRPr="002600AF">
        <w:rPr>
          <w:rStyle w:val="FootnoteReference"/>
        </w:rPr>
        <w:footnoteRef/>
      </w:r>
      <w:r w:rsidRPr="002600AF">
        <w:t xml:space="preserve">  </w:t>
      </w:r>
      <w:r w:rsidRPr="002600AF">
        <w:rPr>
          <w:i/>
          <w:iCs/>
        </w:rPr>
        <w:t>Application of JRM Water LLC and CSWR-Texas Utility Operating Company, LLC for Sale, Transfer, or Merger of Facilities and Certificate Rights in Victoria County</w:t>
      </w:r>
      <w:r w:rsidRPr="002600AF">
        <w:t>, Docket No. 50251, Notice of Approval (Mar. 12, 202</w:t>
      </w:r>
      <w:r w:rsidR="002600AF" w:rsidRPr="002600AF">
        <w:t>1</w:t>
      </w:r>
      <w:r w:rsidRPr="002600AF">
        <w:t>).</w:t>
      </w:r>
    </w:p>
  </w:footnote>
  <w:footnote w:id="2">
    <w:p w14:paraId="033888C6" w14:textId="74C48781" w:rsidR="009F2A6B" w:rsidRPr="002600AF" w:rsidRDefault="00297A2B">
      <w:pPr>
        <w:pStyle w:val="FootnoteText"/>
      </w:pPr>
      <w:r w:rsidRPr="002600AF">
        <w:rPr>
          <w:rStyle w:val="FootnoteReference"/>
        </w:rPr>
        <w:footnoteRef/>
      </w:r>
      <w:r w:rsidRPr="002600AF">
        <w:t xml:space="preserve">  </w:t>
      </w:r>
      <w:r w:rsidRPr="002600AF">
        <w:rPr>
          <w:i/>
          <w:iCs/>
        </w:rPr>
        <w:t>Application of North Victoria Utilities, Inc. and CSWR-Texas Utility Operating Company, LLC for Sale, Transfer, or Merger of Facilities and Certificate Rights in Victoria County</w:t>
      </w:r>
      <w:r w:rsidRPr="002600AF">
        <w:t>, Docket No. 50276, Notice of Approval (Mar. 11, 202</w:t>
      </w:r>
      <w:r w:rsidR="002600AF" w:rsidRPr="002600AF">
        <w:t>1</w:t>
      </w:r>
      <w:r w:rsidRPr="002600AF">
        <w:t>).</w:t>
      </w:r>
    </w:p>
  </w:footnote>
  <w:footnote w:id="3">
    <w:p w14:paraId="2AE3B846" w14:textId="328F4C96" w:rsidR="009F2A6B" w:rsidRPr="002600AF" w:rsidRDefault="00297A2B">
      <w:pPr>
        <w:pStyle w:val="FootnoteText"/>
      </w:pPr>
      <w:r w:rsidRPr="002600AF">
        <w:rPr>
          <w:rStyle w:val="FootnoteReference"/>
        </w:rPr>
        <w:footnoteRef/>
      </w:r>
      <w:r w:rsidRPr="002600AF">
        <w:t xml:space="preserve">  </w:t>
      </w:r>
      <w:r w:rsidRPr="002600AF">
        <w:rPr>
          <w:i/>
          <w:iCs/>
        </w:rPr>
        <w:t>Application of Copano Heights Water Company and CSWR-Texas Utility Operating Company, LLC for Sale, Transfer, or Merger of Facilities and Certificate Rights in Aransas County</w:t>
      </w:r>
      <w:r w:rsidRPr="002600AF">
        <w:t>, Docket No. 50311, Notice of Approval (Mar. 17, 202</w:t>
      </w:r>
      <w:r w:rsidR="002600AF" w:rsidRPr="002600AF">
        <w:t>1</w:t>
      </w:r>
      <w:r w:rsidRPr="002600AF">
        <w:t>).</w:t>
      </w:r>
    </w:p>
  </w:footnote>
  <w:footnote w:id="4">
    <w:p w14:paraId="7D210C93" w14:textId="3E79DF8C" w:rsidR="009F2A6B" w:rsidRPr="002600AF" w:rsidRDefault="00297A2B">
      <w:pPr>
        <w:pStyle w:val="FootnoteText"/>
      </w:pPr>
      <w:r w:rsidRPr="002600AF">
        <w:rPr>
          <w:rStyle w:val="FootnoteReference"/>
        </w:rPr>
        <w:footnoteRef/>
      </w:r>
      <w:r w:rsidRPr="002600AF">
        <w:t xml:space="preserve">  </w:t>
      </w:r>
      <w:r w:rsidRPr="002600AF">
        <w:rPr>
          <w:i/>
          <w:iCs/>
        </w:rPr>
        <w:t>Application of Ranch Country of Texas Water Systems, Inc. and CSWR-Texas Utility Operating Company, LLC for Sale, Transfer, or Merger of Facilities and Certificate Rights in Austin County</w:t>
      </w:r>
      <w:r w:rsidRPr="002600AF">
        <w:t>, Docket No. 50989, Notice of Approval (Apr. 23, 202</w:t>
      </w:r>
      <w:r w:rsidR="002600AF" w:rsidRPr="002600AF">
        <w:t>1</w:t>
      </w:r>
      <w:r w:rsidRPr="002600AF">
        <w:t>).</w:t>
      </w:r>
    </w:p>
  </w:footnote>
  <w:footnote w:id="5">
    <w:p w14:paraId="77EC6E9E" w14:textId="6481DB85" w:rsidR="009F2A6B" w:rsidRPr="002600AF" w:rsidRDefault="00297A2B" w:rsidP="0071193C">
      <w:pPr>
        <w:pStyle w:val="FootnoteText"/>
      </w:pPr>
      <w:r w:rsidRPr="002600AF">
        <w:rPr>
          <w:rStyle w:val="FootnoteReference"/>
        </w:rPr>
        <w:footnoteRef/>
      </w:r>
      <w:r w:rsidRPr="002600AF">
        <w:t xml:space="preserve">  </w:t>
      </w:r>
      <w:r w:rsidRPr="002600AF">
        <w:rPr>
          <w:i/>
          <w:iCs/>
        </w:rPr>
        <w:t>Application of Oak Hill Ranch Estates Water and CSWR-Texas Utility Operating Company, LLC for Sale, Transfer, or Merger of Facilities and Certificate Rights in Guadalupe and Wilson Counties</w:t>
      </w:r>
      <w:r w:rsidRPr="002600AF">
        <w:t>, Docket No. 51003 Notice of Approval (Aug. 9, 202</w:t>
      </w:r>
      <w:r w:rsidR="002600AF" w:rsidRPr="002600AF">
        <w:t>1</w:t>
      </w:r>
      <w:r w:rsidRPr="002600AF">
        <w:t>).</w:t>
      </w:r>
    </w:p>
  </w:footnote>
  <w:footnote w:id="6">
    <w:p w14:paraId="445C901F" w14:textId="64CF591A" w:rsidR="009F2A6B" w:rsidRPr="002600AF" w:rsidRDefault="00297A2B">
      <w:pPr>
        <w:pStyle w:val="FootnoteText"/>
      </w:pPr>
      <w:r w:rsidRPr="002600AF">
        <w:rPr>
          <w:rStyle w:val="FootnoteReference"/>
        </w:rPr>
        <w:footnoteRef/>
      </w:r>
      <w:r w:rsidRPr="002600AF">
        <w:t xml:space="preserve">  </w:t>
      </w:r>
      <w:r w:rsidRPr="002600AF">
        <w:rPr>
          <w:i/>
          <w:iCs/>
        </w:rPr>
        <w:t>Application of Tall Pines Utility, Inc. and CSWR-Texas Utility Operating Company, LLC for Sale, Transfer, or Merger of Facilities and Certificate Rights in Harris County</w:t>
      </w:r>
      <w:r w:rsidRPr="002600AF">
        <w:t>, Docket No. 51026, Notice of Approval (Apr. 23, 202</w:t>
      </w:r>
      <w:r w:rsidR="002600AF" w:rsidRPr="002600AF">
        <w:t>1</w:t>
      </w:r>
      <w:r w:rsidRPr="002600AF">
        <w:t>).</w:t>
      </w:r>
    </w:p>
  </w:footnote>
  <w:footnote w:id="7">
    <w:p w14:paraId="2E11BE51" w14:textId="019A27D8" w:rsidR="009F2A6B" w:rsidRPr="002600AF" w:rsidRDefault="00297A2B">
      <w:pPr>
        <w:pStyle w:val="FootnoteText"/>
      </w:pPr>
      <w:r w:rsidRPr="002600AF">
        <w:rPr>
          <w:rStyle w:val="FootnoteReference"/>
        </w:rPr>
        <w:footnoteRef/>
      </w:r>
      <w:r w:rsidRPr="002600AF">
        <w:t xml:space="preserve">  </w:t>
      </w:r>
      <w:r w:rsidRPr="002600AF">
        <w:rPr>
          <w:i/>
          <w:iCs/>
        </w:rPr>
        <w:t>Application of Council Creek Village, Inc. d/b/a Council Creek Village d/b/a South Council Creek 2 CSWR-Texas Utility Operating Company, LLC for Sale, Transfer, or Merger of Facilities and Certificate Rights in Burnet County</w:t>
      </w:r>
      <w:r w:rsidRPr="002600AF">
        <w:t>, Docket No. 51031, Notice of Approval (Apr. 14, 202</w:t>
      </w:r>
      <w:r w:rsidR="002600AF" w:rsidRPr="002600AF">
        <w:t>1</w:t>
      </w:r>
      <w:r w:rsidRPr="002600AF">
        <w:t>).</w:t>
      </w:r>
    </w:p>
  </w:footnote>
  <w:footnote w:id="8">
    <w:p w14:paraId="79BF0715" w14:textId="11F74471" w:rsidR="009F2A6B" w:rsidRPr="002600AF" w:rsidRDefault="00297A2B">
      <w:pPr>
        <w:pStyle w:val="FootnoteText"/>
      </w:pPr>
      <w:r w:rsidRPr="002600AF">
        <w:rPr>
          <w:rStyle w:val="FootnoteReference"/>
        </w:rPr>
        <w:footnoteRef/>
      </w:r>
      <w:r w:rsidRPr="002600AF">
        <w:t xml:space="preserve"> </w:t>
      </w:r>
      <w:r w:rsidRPr="002600AF">
        <w:rPr>
          <w:i/>
          <w:iCs/>
        </w:rPr>
        <w:t>Application of Kathie Lou Daniels d/b/a Woodlands West and CSWR-Texas Utility Operating Company, LLC for Sale, Transfer, or Merger of Facilities and Certificate Rights in Burleson County</w:t>
      </w:r>
      <w:r w:rsidRPr="002600AF">
        <w:t>, Docket No. 51036, Notice of Approval (Aug. 23, 202</w:t>
      </w:r>
      <w:r w:rsidR="002600AF" w:rsidRPr="002600AF">
        <w:t>1</w:t>
      </w:r>
      <w:r w:rsidRPr="002600AF">
        <w:t xml:space="preserve">). </w:t>
      </w:r>
    </w:p>
  </w:footnote>
  <w:footnote w:id="9">
    <w:p w14:paraId="307FB2C8" w14:textId="560954A7" w:rsidR="009F2A6B" w:rsidRPr="002600AF" w:rsidRDefault="00297A2B">
      <w:pPr>
        <w:pStyle w:val="FootnoteText"/>
      </w:pPr>
      <w:r w:rsidRPr="002600AF">
        <w:rPr>
          <w:rStyle w:val="FootnoteReference"/>
        </w:rPr>
        <w:footnoteRef/>
      </w:r>
      <w:r w:rsidRPr="002600AF">
        <w:t xml:space="preserve">  </w:t>
      </w:r>
      <w:r w:rsidRPr="002600AF">
        <w:rPr>
          <w:i/>
          <w:iCs/>
        </w:rPr>
        <w:t>Application of Jones-Owen Company d/b/a South Silver Creek I, II, and III and CSWR-Texas Utility Operating Company, LLC for Sale, Transfer, or Merger of Facilities and Certificate Rights in Burnet County</w:t>
      </w:r>
      <w:r w:rsidRPr="002600AF">
        <w:t>, Docket No. 51047, Notice of Approval (Apr. 19, 202</w:t>
      </w:r>
      <w:r w:rsidR="007915EA" w:rsidRPr="002600AF">
        <w:t>1</w:t>
      </w:r>
      <w:r w:rsidRPr="002600AF">
        <w:t>).</w:t>
      </w:r>
    </w:p>
  </w:footnote>
  <w:footnote w:id="10">
    <w:p w14:paraId="2DFA69C4" w14:textId="3F017973" w:rsidR="009F2A6B" w:rsidRPr="002600AF" w:rsidRDefault="00297A2B">
      <w:pPr>
        <w:pStyle w:val="FootnoteText"/>
      </w:pPr>
      <w:r w:rsidRPr="002600AF">
        <w:rPr>
          <w:rStyle w:val="FootnoteReference"/>
        </w:rPr>
        <w:footnoteRef/>
      </w:r>
      <w:r w:rsidRPr="002600AF">
        <w:t xml:space="preserve">  </w:t>
      </w:r>
      <w:r w:rsidRPr="002600AF">
        <w:rPr>
          <w:i/>
          <w:iCs/>
        </w:rPr>
        <w:t>Application of Treetop Utilities, Inc. and CSWR-Texas Utility Operating Company, LLC for Sale, Transfer, or Merger of Facilities and Certificate Rights in Parker County</w:t>
      </w:r>
      <w:r w:rsidRPr="002600AF">
        <w:t>, Docket No. 51065, Corrected Notice of Approval (Mar. 10, 202</w:t>
      </w:r>
      <w:r w:rsidR="007915EA" w:rsidRPr="002600AF">
        <w:t>1</w:t>
      </w:r>
      <w:r w:rsidRPr="002600AF">
        <w:t>).</w:t>
      </w:r>
    </w:p>
  </w:footnote>
  <w:footnote w:id="11">
    <w:p w14:paraId="7AB84623" w14:textId="369D0CCA" w:rsidR="009F2A6B" w:rsidRPr="002600AF" w:rsidRDefault="00297A2B">
      <w:pPr>
        <w:pStyle w:val="FootnoteText"/>
      </w:pPr>
      <w:r w:rsidRPr="002600AF">
        <w:rPr>
          <w:rStyle w:val="FootnoteReference"/>
        </w:rPr>
        <w:footnoteRef/>
      </w:r>
      <w:r w:rsidRPr="002600AF">
        <w:t xml:space="preserve">  </w:t>
      </w:r>
      <w:r w:rsidRPr="002600AF">
        <w:rPr>
          <w:i/>
          <w:iCs/>
        </w:rPr>
        <w:t>Application of Donald E. Wilson d/b/a Quiet Village II d/b/a QV Utility CSWR-Texas Utility Operating Company, LLC for Sale, Transfer, or Merger of Facilities and Certificate Rights in Hidalgo County</w:t>
      </w:r>
      <w:r w:rsidRPr="002600AF">
        <w:t>, Docket No. 51089, Notice of Approval (Nov. 18, 202</w:t>
      </w:r>
      <w:r w:rsidR="007915EA" w:rsidRPr="002600AF">
        <w:t>1</w:t>
      </w:r>
      <w:r w:rsidRPr="002600AF">
        <w:t>).</w:t>
      </w:r>
    </w:p>
  </w:footnote>
  <w:footnote w:id="12">
    <w:p w14:paraId="0A67A6ED" w14:textId="42007D52" w:rsidR="009F2A6B" w:rsidRPr="002600AF" w:rsidRDefault="00297A2B">
      <w:pPr>
        <w:pStyle w:val="FootnoteText"/>
      </w:pPr>
      <w:r w:rsidRPr="002600AF">
        <w:rPr>
          <w:rStyle w:val="FootnoteReference"/>
        </w:rPr>
        <w:footnoteRef/>
      </w:r>
      <w:r w:rsidRPr="002600AF">
        <w:t xml:space="preserve">  </w:t>
      </w:r>
      <w:r w:rsidRPr="002600AF">
        <w:rPr>
          <w:i/>
          <w:iCs/>
        </w:rPr>
        <w:t>Application of Shady Oaks Water Supply Company, LLC and CSWR-Texas Utility Operating Company, LLC for Sale, Transfer, or Merger of Facilities and Certificate Rights in Wilson County</w:t>
      </w:r>
      <w:r w:rsidRPr="002600AF">
        <w:t>, Docket No. 51118, Notice of Approval (Mar. 18, 202</w:t>
      </w:r>
      <w:r w:rsidR="00294E07" w:rsidRPr="002600AF">
        <w:t>1</w:t>
      </w:r>
      <w:r w:rsidRPr="002600AF">
        <w:t>).</w:t>
      </w:r>
    </w:p>
  </w:footnote>
  <w:footnote w:id="13">
    <w:p w14:paraId="457B8F77" w14:textId="534AC3A2" w:rsidR="009F2A6B" w:rsidRPr="002600AF" w:rsidRDefault="00297A2B">
      <w:pPr>
        <w:pStyle w:val="FootnoteText"/>
      </w:pPr>
      <w:r w:rsidRPr="002600AF">
        <w:rPr>
          <w:rStyle w:val="FootnoteReference"/>
        </w:rPr>
        <w:footnoteRef/>
      </w:r>
      <w:r w:rsidRPr="002600AF">
        <w:t xml:space="preserve">  </w:t>
      </w:r>
      <w:r w:rsidRPr="002600AF">
        <w:rPr>
          <w:i/>
          <w:iCs/>
        </w:rPr>
        <w:t>Application of Shawn M. Horvath Dba Aero Valley Water Service and CSWR-Texas Utility Operating Company, LLC For Sale, Transfer, Or Merger of Facilities and to Amend CSWR-Texas Utility Operating Company, LLC’s Certificate of Convenience and Necessity in Denton County</w:t>
      </w:r>
      <w:r w:rsidRPr="002600AF">
        <w:t>, Docket No. 51126, Notice of Approval</w:t>
      </w:r>
      <w:r w:rsidR="00C7714F" w:rsidRPr="002600AF">
        <w:t xml:space="preserve"> (</w:t>
      </w:r>
      <w:r w:rsidRPr="002600AF">
        <w:t>Oct.</w:t>
      </w:r>
      <w:r w:rsidR="00C7714F" w:rsidRPr="002600AF">
        <w:t> </w:t>
      </w:r>
      <w:r w:rsidRPr="002600AF">
        <w:t>26,</w:t>
      </w:r>
      <w:r w:rsidR="00C7714F" w:rsidRPr="002600AF">
        <w:t> </w:t>
      </w:r>
      <w:r w:rsidRPr="002600AF">
        <w:t>2022).</w:t>
      </w:r>
    </w:p>
  </w:footnote>
  <w:footnote w:id="14">
    <w:p w14:paraId="303B9901" w14:textId="27D487C2" w:rsidR="009F2A6B" w:rsidRPr="002600AF" w:rsidRDefault="00297A2B">
      <w:pPr>
        <w:pStyle w:val="FootnoteText"/>
      </w:pPr>
      <w:r w:rsidRPr="002600AF">
        <w:rPr>
          <w:rStyle w:val="FootnoteReference"/>
        </w:rPr>
        <w:footnoteRef/>
      </w:r>
      <w:r w:rsidRPr="002600AF">
        <w:t xml:space="preserve">  </w:t>
      </w:r>
      <w:r w:rsidRPr="002600AF">
        <w:rPr>
          <w:i/>
          <w:iCs/>
        </w:rPr>
        <w:t>Application of Laguna Vista Limited and Laguna Tres, Inc. CSWR-Texas Utility Operating Company, LLC for Sale, Transfer, or Merger of Facilities and Certificate Rights in Hood County</w:t>
      </w:r>
      <w:r w:rsidRPr="002600AF">
        <w:t>, Docket No. 51130, Notice of Approval (Apr. 20, 202</w:t>
      </w:r>
      <w:r w:rsidR="00294E07" w:rsidRPr="002600AF">
        <w:t>1</w:t>
      </w:r>
      <w:r w:rsidRPr="002600AF">
        <w:t>).</w:t>
      </w:r>
    </w:p>
  </w:footnote>
  <w:footnote w:id="15">
    <w:p w14:paraId="79698DDB" w14:textId="1F68F692" w:rsidR="009F2A6B" w:rsidRPr="002600AF" w:rsidRDefault="00297A2B">
      <w:pPr>
        <w:pStyle w:val="FootnoteText"/>
      </w:pPr>
      <w:r w:rsidRPr="002600AF">
        <w:rPr>
          <w:rStyle w:val="FootnoteReference"/>
        </w:rPr>
        <w:footnoteRef/>
      </w:r>
      <w:r w:rsidRPr="002600AF">
        <w:t xml:space="preserve">  </w:t>
      </w:r>
      <w:r w:rsidRPr="002600AF">
        <w:rPr>
          <w:i/>
          <w:iCs/>
        </w:rPr>
        <w:t>Application of Abraxas Corporation and CSWR-Texas Utility Operating Company, LLC for Sale, Transfer, or Merger of Facilities and Certificate Rights in Parker County</w:t>
      </w:r>
      <w:r w:rsidRPr="002600AF">
        <w:t>, Docket No. 51146, Notice of Approval (Apr. 23, 202</w:t>
      </w:r>
      <w:r w:rsidR="00294E07" w:rsidRPr="002600AF">
        <w:t>1</w:t>
      </w:r>
      <w:r w:rsidRPr="002600AF">
        <w:t>).</w:t>
      </w:r>
    </w:p>
  </w:footnote>
  <w:footnote w:id="16">
    <w:p w14:paraId="61740A3C" w14:textId="18C7F165" w:rsidR="009F2A6B" w:rsidRPr="002600AF" w:rsidRDefault="00297A2B">
      <w:pPr>
        <w:pStyle w:val="FootnoteText"/>
        <w:rPr>
          <w:u w:val="single"/>
        </w:rPr>
      </w:pPr>
      <w:r w:rsidRPr="002600AF">
        <w:rPr>
          <w:rStyle w:val="FootnoteReference"/>
        </w:rPr>
        <w:footnoteRef/>
      </w:r>
      <w:r w:rsidRPr="002600AF">
        <w:t xml:space="preserve"> </w:t>
      </w:r>
      <w:r w:rsidRPr="002600AF">
        <w:rPr>
          <w:i/>
          <w:iCs/>
        </w:rPr>
        <w:t>Application of</w:t>
      </w:r>
      <w:r w:rsidR="00825196" w:rsidRPr="002600AF">
        <w:rPr>
          <w:i/>
          <w:iCs/>
        </w:rPr>
        <w:t xml:space="preserve"> David Petty,</w:t>
      </w:r>
      <w:r w:rsidRPr="002600AF">
        <w:rPr>
          <w:i/>
          <w:iCs/>
        </w:rPr>
        <w:t xml:space="preserve"> </w:t>
      </w:r>
      <w:r w:rsidR="00825196" w:rsidRPr="002600AF">
        <w:rPr>
          <w:i/>
          <w:iCs/>
        </w:rPr>
        <w:t xml:space="preserve">Executor of the </w:t>
      </w:r>
      <w:r w:rsidRPr="002600AF">
        <w:rPr>
          <w:i/>
          <w:iCs/>
        </w:rPr>
        <w:t>Estate of Patetreen Petty McCoy d/b/a Big Wood Springs Water Company</w:t>
      </w:r>
      <w:r w:rsidR="00825196" w:rsidRPr="002600AF">
        <w:rPr>
          <w:i/>
          <w:iCs/>
        </w:rPr>
        <w:t>,</w:t>
      </w:r>
      <w:r w:rsidRPr="002600AF">
        <w:rPr>
          <w:i/>
          <w:iCs/>
        </w:rPr>
        <w:t xml:space="preserve"> and CSWR-Texas Utility Operating Company, LLC for Sale, Transfer, or Merger of Facilities and Certificate Rights in Wood County</w:t>
      </w:r>
      <w:r w:rsidRPr="002600AF">
        <w:t>, Docket No. 51222, Notice of Approval (Feb. 16, 2022).</w:t>
      </w:r>
    </w:p>
  </w:footnote>
  <w:footnote w:id="17">
    <w:p w14:paraId="3BB98D6B" w14:textId="77777777" w:rsidR="009F2A6B" w:rsidRPr="002600AF" w:rsidRDefault="00297A2B">
      <w:pPr>
        <w:pStyle w:val="FootnoteText"/>
      </w:pPr>
      <w:r w:rsidRPr="002600AF">
        <w:rPr>
          <w:rStyle w:val="FootnoteReference"/>
        </w:rPr>
        <w:footnoteRef/>
      </w:r>
      <w:r w:rsidRPr="002600AF">
        <w:t xml:space="preserve">  </w:t>
      </w:r>
      <w:r w:rsidRPr="002600AF">
        <w:rPr>
          <w:i/>
          <w:iCs/>
        </w:rPr>
        <w:t>Application of Franklin Water Service Co. LLC and CSWR-Texas Utility Operating Company, LLC For Sale, Transfer, Or Merger of Facilities and Certificate Rights in Lubbock County</w:t>
      </w:r>
      <w:r w:rsidRPr="002600AF">
        <w:t>, Docket No. 51544, Notice of Approval (Feb. 15, 2022).</w:t>
      </w:r>
    </w:p>
  </w:footnote>
  <w:footnote w:id="18">
    <w:p w14:paraId="587311BE" w14:textId="5C82882E" w:rsidR="009F2A6B" w:rsidRPr="002600AF" w:rsidRDefault="00297A2B">
      <w:pPr>
        <w:pStyle w:val="FootnoteText"/>
      </w:pPr>
      <w:r w:rsidRPr="002600AF">
        <w:rPr>
          <w:rStyle w:val="FootnoteReference"/>
        </w:rPr>
        <w:footnoteRef/>
      </w:r>
      <w:r w:rsidRPr="002600AF">
        <w:t xml:space="preserve"> </w:t>
      </w:r>
      <w:r w:rsidRPr="002600AF">
        <w:rPr>
          <w:i/>
          <w:iCs/>
        </w:rPr>
        <w:t>Application of James L. Nelson dba WaterCo and CSWR-Texas Utility Operating Company, LLC for Sale, Transfer, or Merger of Facilities and Certificate Rights in Montague County</w:t>
      </w:r>
      <w:r w:rsidRPr="002600AF">
        <w:t>, Docket No. 51642, Notice of Approval (Mar. 15, 2022).</w:t>
      </w:r>
    </w:p>
  </w:footnote>
  <w:footnote w:id="19">
    <w:p w14:paraId="517C97FD" w14:textId="77777777" w:rsidR="009F2A6B" w:rsidRPr="002600AF" w:rsidRDefault="00297A2B" w:rsidP="00825196">
      <w:pPr>
        <w:pStyle w:val="FootnoteText"/>
      </w:pPr>
      <w:r w:rsidRPr="002600AF">
        <w:rPr>
          <w:rStyle w:val="FootnoteReference"/>
        </w:rPr>
        <w:footnoteRef/>
      </w:r>
      <w:r w:rsidRPr="002600AF">
        <w:t xml:space="preserve">  </w:t>
      </w:r>
      <w:r w:rsidRPr="002600AF">
        <w:rPr>
          <w:i/>
          <w:iCs/>
        </w:rPr>
        <w:t>Application of Rocket Water Company, Inc. and CSWR-Texas Utility Operating Company, LLC For Sale, Transfer, Or Merger of Facilities and Certificate Rights in Hays County</w:t>
      </w:r>
      <w:r w:rsidRPr="002600AF">
        <w:t>, Docket No. 51917, Notice of Approval (Mar. 8, 2022).</w:t>
      </w:r>
    </w:p>
  </w:footnote>
  <w:footnote w:id="20">
    <w:p w14:paraId="33DFA951" w14:textId="77777777" w:rsidR="009F2A6B" w:rsidRPr="002600AF" w:rsidRDefault="00297A2B" w:rsidP="00825196">
      <w:pPr>
        <w:pStyle w:val="FootnoteText"/>
      </w:pPr>
      <w:r w:rsidRPr="002600AF">
        <w:rPr>
          <w:rStyle w:val="FootnoteReference"/>
        </w:rPr>
        <w:footnoteRef/>
      </w:r>
      <w:r w:rsidRPr="002600AF">
        <w:t xml:space="preserve">  </w:t>
      </w:r>
      <w:r w:rsidRPr="002600AF">
        <w:rPr>
          <w:i/>
          <w:iCs/>
        </w:rPr>
        <w:t>Application of Betty J. Dragoo and CSWR-Texas Utility Operating Company, LLC For Sale, Transfer, or Merger of Facilities and Associated Acreage in Erath County</w:t>
      </w:r>
      <w:r w:rsidRPr="002600AF">
        <w:t>, Docket No. 51928, Notice of Approval (Jan. 21, 2022).</w:t>
      </w:r>
    </w:p>
  </w:footnote>
  <w:footnote w:id="21">
    <w:p w14:paraId="266F4B30" w14:textId="16AF2534" w:rsidR="009F2A6B" w:rsidRPr="002600AF" w:rsidRDefault="00297A2B" w:rsidP="00825196">
      <w:pPr>
        <w:pStyle w:val="FootnoteText"/>
      </w:pPr>
      <w:r w:rsidRPr="002600AF">
        <w:rPr>
          <w:rStyle w:val="FootnoteReference"/>
        </w:rPr>
        <w:footnoteRef/>
      </w:r>
      <w:r w:rsidRPr="002600AF">
        <w:t xml:space="preserve">  </w:t>
      </w:r>
      <w:r w:rsidRPr="002600AF">
        <w:rPr>
          <w:i/>
          <w:iCs/>
        </w:rPr>
        <w:t>Application of Walnut Bend Water Supply and CSWR-Texas Utility Operating Company, LLC For Sale, Transfer or Merger of Facilities and Certificate Rights in Angelina County</w:t>
      </w:r>
      <w:r w:rsidRPr="002600AF">
        <w:t>, Docket No. 51940, Notice of Approval (Mar. 15, 2022).</w:t>
      </w:r>
    </w:p>
  </w:footnote>
  <w:footnote w:id="22">
    <w:p w14:paraId="16A44436" w14:textId="77777777" w:rsidR="009F2A6B" w:rsidRPr="002600AF" w:rsidRDefault="00297A2B">
      <w:pPr>
        <w:pStyle w:val="FootnoteText"/>
      </w:pPr>
      <w:r w:rsidRPr="002600AF">
        <w:rPr>
          <w:rStyle w:val="FootnoteReference"/>
        </w:rPr>
        <w:footnoteRef/>
      </w:r>
      <w:r w:rsidRPr="002600AF">
        <w:t xml:space="preserve">  </w:t>
      </w:r>
      <w:r w:rsidRPr="002600AF">
        <w:rPr>
          <w:i/>
          <w:iCs/>
        </w:rPr>
        <w:t>Application of Live Oak Hills and Flag Creek Ranch Water Systems and CSWR-Texas Utility Operating Company, LLC for Sale, Transfer, or Merger of Facilities and Certificate Rights in Llano and McCulloch Counties</w:t>
      </w:r>
      <w:r w:rsidRPr="002600AF">
        <w:t>, Docket No. 51981, Notice of Approval (Jan. 28, 2022).</w:t>
      </w:r>
    </w:p>
  </w:footnote>
  <w:footnote w:id="23">
    <w:p w14:paraId="36D981F1" w14:textId="77777777" w:rsidR="009F2A6B" w:rsidRDefault="00297A2B">
      <w:pPr>
        <w:pStyle w:val="FootnoteText"/>
      </w:pPr>
      <w:r w:rsidRPr="002600AF">
        <w:rPr>
          <w:rStyle w:val="FootnoteReference"/>
        </w:rPr>
        <w:footnoteRef/>
      </w:r>
      <w:r w:rsidRPr="002600AF">
        <w:t xml:space="preserve">  </w:t>
      </w:r>
      <w:r w:rsidRPr="002600AF">
        <w:rPr>
          <w:i/>
          <w:iCs/>
        </w:rPr>
        <w:t>Application of Alpha Utility of Camp County, LLC and CSWR-Texas utility Operating Company, LLC for Sale, Transfer, or Merger of Facilities and Certificate Rights in Camp County</w:t>
      </w:r>
      <w:r w:rsidRPr="002600AF">
        <w:t>, Docket No. 52089, Notice of Approval (Mar. 25, 2022).</w:t>
      </w:r>
      <w:r>
        <w:t xml:space="preserve"> </w:t>
      </w:r>
    </w:p>
  </w:footnote>
  <w:footnote w:id="24">
    <w:p w14:paraId="515AC87A" w14:textId="77777777" w:rsidR="009F2A6B" w:rsidRPr="002600AF" w:rsidRDefault="00297A2B">
      <w:pPr>
        <w:pStyle w:val="FootnoteText"/>
      </w:pPr>
      <w:r w:rsidRPr="002600AF">
        <w:rPr>
          <w:rStyle w:val="FootnoteReference"/>
        </w:rPr>
        <w:footnoteRef/>
      </w:r>
      <w:r w:rsidRPr="002600AF">
        <w:t xml:space="preserve">  </w:t>
      </w:r>
      <w:r w:rsidRPr="002600AF">
        <w:rPr>
          <w:i/>
          <w:iCs/>
        </w:rPr>
        <w:t>Application of THRC Utility, LLC and CSWR-Texas Utility Operating Company, LLC for Sale, Transfer, or Merger of Facilities and Certificate Rights in Navarro County</w:t>
      </w:r>
      <w:r w:rsidRPr="002600AF">
        <w:t>, Docket No. 52099, Corrected Notice of Approval (Jul. 28, 2022).</w:t>
      </w:r>
    </w:p>
  </w:footnote>
  <w:footnote w:id="25">
    <w:p w14:paraId="22C9C691" w14:textId="49846591" w:rsidR="009F2A6B" w:rsidRDefault="00297A2B">
      <w:pPr>
        <w:pStyle w:val="FootnoteText"/>
      </w:pPr>
      <w:r w:rsidRPr="002600AF">
        <w:rPr>
          <w:rStyle w:val="FootnoteReference"/>
        </w:rPr>
        <w:footnoteRef/>
      </w:r>
      <w:r w:rsidRPr="002600AF">
        <w:t xml:space="preserve">  </w:t>
      </w:r>
      <w:r w:rsidRPr="002600AF">
        <w:rPr>
          <w:i/>
          <w:iCs/>
        </w:rPr>
        <w:t>Application of  and CSWR-Texas Utility Operating Company, LLC</w:t>
      </w:r>
      <w:r w:rsidR="00294E07" w:rsidRPr="002600AF">
        <w:rPr>
          <w:i/>
          <w:iCs/>
        </w:rPr>
        <w:t xml:space="preserve"> and Leon Springs Utility Company, Inc.</w:t>
      </w:r>
      <w:r w:rsidRPr="002600AF">
        <w:rPr>
          <w:i/>
          <w:iCs/>
        </w:rPr>
        <w:t xml:space="preserve"> for Sale, Transfer, or Merger of Facilities and Certificate Rights in</w:t>
      </w:r>
      <w:r w:rsidRPr="002600AF">
        <w:t xml:space="preserve"> </w:t>
      </w:r>
      <w:r w:rsidRPr="002600AF">
        <w:rPr>
          <w:i/>
          <w:iCs/>
        </w:rPr>
        <w:t>Bexar County</w:t>
      </w:r>
      <w:r w:rsidRPr="002600AF">
        <w:t>, Docket No. 52410, Notice of Approval (Jun. 3, 2022).</w:t>
      </w:r>
    </w:p>
  </w:footnote>
  <w:footnote w:id="26">
    <w:p w14:paraId="14E7B151" w14:textId="77777777" w:rsidR="009F2A6B" w:rsidRPr="002600AF" w:rsidRDefault="00297A2B">
      <w:pPr>
        <w:pStyle w:val="FootnoteText"/>
      </w:pPr>
      <w:r w:rsidRPr="002600AF">
        <w:rPr>
          <w:rStyle w:val="FootnoteReference"/>
        </w:rPr>
        <w:footnoteRef/>
      </w:r>
      <w:r w:rsidRPr="002600AF">
        <w:t xml:space="preserve">  </w:t>
      </w:r>
      <w:r w:rsidRPr="002600AF">
        <w:rPr>
          <w:i/>
        </w:rPr>
        <w:t>Application of CSWR-Texas Utility Operating Company, LLC and Fremont Water Company for Saale, Transfer, or Merger of Facilities and Certificate Rights in Kerr County</w:t>
      </w:r>
      <w:r w:rsidRPr="002600AF">
        <w:t xml:space="preserve">, Docket No. 52702, Notice of Approval (Aug. 5, 2022). </w:t>
      </w:r>
    </w:p>
  </w:footnote>
  <w:footnote w:id="27">
    <w:p w14:paraId="178A2CAC" w14:textId="77777777" w:rsidR="009F2A6B" w:rsidRPr="002600AF" w:rsidRDefault="00297A2B">
      <w:pPr>
        <w:pStyle w:val="FootnoteText"/>
      </w:pPr>
      <w:r w:rsidRPr="002600AF">
        <w:rPr>
          <w:rStyle w:val="FootnoteReference"/>
        </w:rPr>
        <w:footnoteRef/>
      </w:r>
      <w:r w:rsidRPr="002600AF">
        <w:t xml:space="preserve">  </w:t>
      </w:r>
      <w:r w:rsidRPr="002600AF">
        <w:rPr>
          <w:i/>
        </w:rPr>
        <w:t>Application of Copano Cove Water Company, Inc. and CSWR-Texas Utility Operating Company, LLC for Sale, Transfer, or Merger of Facilities and Certificate rights in Aransas County</w:t>
      </w:r>
      <w:r w:rsidRPr="002600AF">
        <w:t>, Docket No. 52803, Notice of Approval (Dec. 19, 2022).</w:t>
      </w:r>
    </w:p>
  </w:footnote>
  <w:footnote w:id="28">
    <w:p w14:paraId="2AE07776" w14:textId="2C619021" w:rsidR="009F2A6B" w:rsidRPr="002600AF" w:rsidRDefault="00297A2B">
      <w:pPr>
        <w:pStyle w:val="FootnoteText"/>
      </w:pPr>
      <w:r w:rsidRPr="002600AF">
        <w:rPr>
          <w:rStyle w:val="FootnoteReference"/>
        </w:rPr>
        <w:footnoteRef/>
      </w:r>
      <w:r w:rsidRPr="002600AF">
        <w:t xml:space="preserve">  </w:t>
      </w:r>
      <w:r w:rsidRPr="002600AF">
        <w:rPr>
          <w:i/>
        </w:rPr>
        <w:t>Application of Carroll Water Company, Inc. and CSWR-Texas Utility Operating Company, LLC for Sale, Transfer, or Merger of Facilities and Certificate Rights in Ellis County</w:t>
      </w:r>
      <w:r w:rsidRPr="002600AF">
        <w:t>, Docket No. 52879, Notice of Approval (Sept. 21, 2022).</w:t>
      </w:r>
    </w:p>
  </w:footnote>
  <w:footnote w:id="29">
    <w:p w14:paraId="0053AD75" w14:textId="77777777" w:rsidR="009F2A6B" w:rsidRPr="002600AF" w:rsidRDefault="00297A2B">
      <w:pPr>
        <w:pStyle w:val="FootnoteText"/>
      </w:pPr>
      <w:r w:rsidRPr="002600AF">
        <w:rPr>
          <w:rStyle w:val="FootnoteReference"/>
        </w:rPr>
        <w:footnoteRef/>
      </w:r>
      <w:r w:rsidRPr="002600AF">
        <w:t xml:space="preserve">  </w:t>
      </w:r>
      <w:r w:rsidRPr="002600AF">
        <w:rPr>
          <w:i/>
        </w:rPr>
        <w:t>Application of Tri-County Point Property Owners Association and CSWR-Texas Utility Operating Company, LLC for Sale, Transfer, or Merger of Facilities and Certificate Rights in Calhoun and Jackson Counties</w:t>
      </w:r>
      <w:r w:rsidRPr="002600AF">
        <w:t>, Docket No. 52661, Notice of Approval (Dec. 12, 2022).</w:t>
      </w:r>
    </w:p>
  </w:footnote>
  <w:footnote w:id="30">
    <w:p w14:paraId="25320ED6" w14:textId="77777777" w:rsidR="009F2A6B" w:rsidRPr="002600AF" w:rsidRDefault="00297A2B">
      <w:pPr>
        <w:pStyle w:val="FootnoteText"/>
      </w:pPr>
      <w:r w:rsidRPr="002600AF">
        <w:rPr>
          <w:rStyle w:val="FootnoteReference"/>
        </w:rPr>
        <w:footnoteRef/>
      </w:r>
      <w:r w:rsidRPr="002600AF">
        <w:t xml:space="preserve">  </w:t>
      </w:r>
      <w:r w:rsidRPr="002600AF">
        <w:rPr>
          <w:i/>
        </w:rPr>
        <w:t>Application of Texas Landing Utilities and CSWR-Texas Utility Operating Company, LLC for Sale, Transfer, or Merger of Facilities and Certificate Rights in Polk and Montgomery Counties</w:t>
      </w:r>
      <w:r w:rsidRPr="002600AF">
        <w:t>, Docket No. 52880, Notice of Approval (Nov. 3, 2022).</w:t>
      </w:r>
    </w:p>
  </w:footnote>
  <w:footnote w:id="31">
    <w:p w14:paraId="0C6FFD77" w14:textId="4AC1D721" w:rsidR="009F2A6B" w:rsidRDefault="00297A2B">
      <w:pPr>
        <w:pStyle w:val="FootnoteText"/>
      </w:pPr>
      <w:r w:rsidRPr="002600AF">
        <w:rPr>
          <w:rStyle w:val="FootnoteReference"/>
        </w:rPr>
        <w:footnoteRef/>
      </w:r>
      <w:r w:rsidRPr="002600AF">
        <w:t xml:space="preserve"> </w:t>
      </w:r>
      <w:r w:rsidR="00A85E00">
        <w:t xml:space="preserve"> </w:t>
      </w:r>
      <w:r w:rsidRPr="002600AF">
        <w:rPr>
          <w:i/>
        </w:rPr>
        <w:t>Application of CSWR-Texas Utility Operating Company, LLC and Aransas Bay Utilities Co., LLC for Sale, Transfer, or Merger of Facilities and Certificate Rights in Aransas County</w:t>
      </w:r>
      <w:r w:rsidRPr="002600AF">
        <w:t>, Docket No. 53326, Notice of Approval (Dec. 16, 2022).</w:t>
      </w:r>
    </w:p>
  </w:footnote>
  <w:footnote w:id="32">
    <w:p w14:paraId="4118C603" w14:textId="0F6F4529" w:rsidR="00A85E00" w:rsidRPr="00A85E00" w:rsidRDefault="00A85E00">
      <w:pPr>
        <w:pStyle w:val="FootnoteText"/>
      </w:pPr>
      <w:r>
        <w:rPr>
          <w:rStyle w:val="FootnoteReference"/>
        </w:rPr>
        <w:footnoteRef/>
      </w:r>
      <w:r>
        <w:t xml:space="preserve">  </w:t>
      </w:r>
      <w:r>
        <w:rPr>
          <w:i/>
        </w:rPr>
        <w:t>Application of CSWR-Texas Utility Operating Company, LLC and Lake Limestone Coves Water System, Inc. for Sale, Transfer, or Merger of Facilities and Certificate Rights in Limestone and Robertson Counties</w:t>
      </w:r>
      <w:r>
        <w:t>, Docket No. 53456, Notice of Approval (Mar. 7, 2023).</w:t>
      </w:r>
    </w:p>
  </w:footnote>
  <w:footnote w:id="33">
    <w:p w14:paraId="1EBE435C" w14:textId="3DE6A335" w:rsidR="00A85E00" w:rsidRPr="00A85E00" w:rsidRDefault="00A85E00">
      <w:pPr>
        <w:pStyle w:val="FootnoteText"/>
      </w:pPr>
      <w:r>
        <w:rPr>
          <w:rStyle w:val="FootnoteReference"/>
        </w:rPr>
        <w:footnoteRef/>
      </w:r>
      <w:r>
        <w:t xml:space="preserve">  </w:t>
      </w:r>
      <w:r>
        <w:rPr>
          <w:i/>
        </w:rPr>
        <w:t>Application of Amberwood Utility Co and CSWR-Texas Utility Operating Company, LLC for Sale, Transfer, or Merger of Facilities and Certificate Rights in Harris County</w:t>
      </w:r>
      <w:r>
        <w:t>, Docket No. 53538, Notice of Approval (Mar. 8, 2023).</w:t>
      </w:r>
    </w:p>
  </w:footnote>
  <w:footnote w:id="34">
    <w:p w14:paraId="1D2549C3" w14:textId="56319472" w:rsidR="00A85E00" w:rsidRPr="00A85E00" w:rsidRDefault="00A85E00">
      <w:pPr>
        <w:pStyle w:val="FootnoteText"/>
      </w:pPr>
      <w:r>
        <w:rPr>
          <w:rStyle w:val="FootnoteReference"/>
        </w:rPr>
        <w:footnoteRef/>
      </w:r>
      <w:r>
        <w:t xml:space="preserve">  </w:t>
      </w:r>
      <w:r>
        <w:rPr>
          <w:i/>
        </w:rPr>
        <w:t>Application of CSWR-Texas Utility Operating Company, LLC and North Orange Water &amp; Sewer, LLC for Sale, Transfer, or Merger of Facilities and Certificate Rights in Orange County</w:t>
      </w:r>
      <w:r>
        <w:t>, Docket No. 53483, Notice of Approval (Mar. 8, 2023).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CFB4F7" w14:textId="01804968" w:rsidR="009F2A6B" w:rsidRPr="00DF6A15" w:rsidRDefault="00297A2B" w:rsidP="00DF6A15">
    <w:pPr>
      <w:pStyle w:val="Header"/>
      <w:jc w:val="right"/>
      <w:rPr>
        <w:b/>
        <w:bCs/>
        <w:sz w:val="20"/>
        <w:szCs w:val="20"/>
      </w:rPr>
    </w:pPr>
    <w:r>
      <w:rPr>
        <w:b/>
        <w:bCs/>
        <w:sz w:val="20"/>
        <w:szCs w:val="20"/>
      </w:rPr>
      <w:t>Docket No. 5</w:t>
    </w:r>
    <w:r w:rsidR="00111D9B">
      <w:rPr>
        <w:b/>
        <w:bCs/>
        <w:sz w:val="20"/>
        <w:szCs w:val="20"/>
      </w:rPr>
      <w:t>4393</w:t>
    </w:r>
    <w:r>
      <w:rPr>
        <w:b/>
        <w:bCs/>
        <w:sz w:val="20"/>
        <w:szCs w:val="20"/>
      </w:rPr>
      <w:tab/>
    </w:r>
    <w:sdt>
      <w:sdtPr>
        <w:rPr>
          <w:b/>
          <w:bCs/>
          <w:sz w:val="20"/>
          <w:szCs w:val="20"/>
        </w:rPr>
        <w:id w:val="673924340"/>
        <w:docPartObj>
          <w:docPartGallery w:val="Page Numbers (Top of Page)"/>
          <w:docPartUnique/>
        </w:docPartObj>
      </w:sdtPr>
      <w:sdtEndPr/>
      <w:sdtContent>
        <w:r>
          <w:rPr>
            <w:b/>
            <w:bCs/>
            <w:sz w:val="20"/>
            <w:szCs w:val="20"/>
          </w:rPr>
          <w:t>Order No.</w:t>
        </w:r>
        <w:r w:rsidR="006327B2">
          <w:rPr>
            <w:b/>
            <w:bCs/>
            <w:sz w:val="20"/>
            <w:szCs w:val="20"/>
          </w:rPr>
          <w:t xml:space="preserve"> ____</w:t>
        </w:r>
        <w:r w:rsidR="00111D9B">
          <w:rPr>
            <w:b/>
            <w:bCs/>
            <w:sz w:val="20"/>
            <w:szCs w:val="20"/>
          </w:rPr>
          <w:t>____</w:t>
        </w:r>
        <w:r>
          <w:rPr>
            <w:b/>
            <w:bCs/>
            <w:sz w:val="20"/>
            <w:szCs w:val="20"/>
          </w:rPr>
          <w:tab/>
          <w:t xml:space="preserve">Page </w:t>
        </w:r>
        <w:r>
          <w:rPr>
            <w:b/>
            <w:bCs/>
            <w:sz w:val="20"/>
            <w:szCs w:val="20"/>
          </w:rPr>
          <w:fldChar w:fldCharType="begin"/>
        </w:r>
        <w:r>
          <w:rPr>
            <w:b/>
            <w:bCs/>
            <w:sz w:val="20"/>
            <w:szCs w:val="20"/>
          </w:rPr>
          <w:instrText xml:space="preserve"> PAGE </w:instrText>
        </w:r>
        <w:r>
          <w:rPr>
            <w:b/>
            <w:bCs/>
            <w:sz w:val="20"/>
            <w:szCs w:val="20"/>
          </w:rPr>
          <w:fldChar w:fldCharType="separate"/>
        </w:r>
        <w:r>
          <w:rPr>
            <w:b/>
            <w:bCs/>
            <w:sz w:val="20"/>
            <w:szCs w:val="20"/>
          </w:rPr>
          <w:t>2</w:t>
        </w:r>
        <w:r>
          <w:rPr>
            <w:b/>
            <w:bCs/>
            <w:sz w:val="20"/>
            <w:szCs w:val="20"/>
          </w:rPr>
          <w:fldChar w:fldCharType="end"/>
        </w:r>
        <w:r>
          <w:rPr>
            <w:b/>
            <w:bCs/>
            <w:sz w:val="20"/>
            <w:szCs w:val="20"/>
          </w:rPr>
          <w:t xml:space="preserve"> of </w:t>
        </w:r>
        <w:r>
          <w:rPr>
            <w:b/>
            <w:bCs/>
            <w:sz w:val="20"/>
            <w:szCs w:val="20"/>
          </w:rPr>
          <w:fldChar w:fldCharType="begin"/>
        </w:r>
        <w:r>
          <w:rPr>
            <w:b/>
            <w:bCs/>
            <w:sz w:val="20"/>
            <w:szCs w:val="20"/>
          </w:rPr>
          <w:instrText xml:space="preserve"> NUMPAGES  </w:instrText>
        </w:r>
        <w:r>
          <w:rPr>
            <w:b/>
            <w:bCs/>
            <w:sz w:val="20"/>
            <w:szCs w:val="20"/>
          </w:rPr>
          <w:fldChar w:fldCharType="separate"/>
        </w:r>
        <w:r>
          <w:rPr>
            <w:b/>
            <w:bCs/>
            <w:sz w:val="20"/>
            <w:szCs w:val="20"/>
          </w:rPr>
          <w:t>10</w:t>
        </w:r>
        <w:r>
          <w:rPr>
            <w:b/>
            <w:bCs/>
            <w:sz w:val="20"/>
            <w:szCs w:val="20"/>
          </w:rPr>
          <w:fldChar w:fldCharType="end"/>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3AA399" w14:textId="77777777" w:rsidR="009F2A6B" w:rsidRDefault="009F2A6B">
    <w:pPr>
      <w:pStyle w:val="Header"/>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0D602C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D3E1C9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3BAEE5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5C2E51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FD2EF1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18A40B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EC6C0D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E3A79E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6E03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4D854E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DF12E6"/>
    <w:multiLevelType w:val="hybridMultilevel"/>
    <w:tmpl w:val="54781772"/>
    <w:lvl w:ilvl="0" w:tplc="E33618A6">
      <w:start w:val="1"/>
      <w:numFmt w:val="decimal"/>
      <w:lvlText w:val="%1."/>
      <w:lvlJc w:val="left"/>
      <w:pPr>
        <w:ind w:left="820" w:hanging="720"/>
      </w:pPr>
      <w:rPr>
        <w:rFonts w:ascii="Times New Roman" w:eastAsia="Times New Roman" w:hAnsi="Times New Roman" w:hint="default"/>
        <w:sz w:val="24"/>
        <w:szCs w:val="24"/>
      </w:rPr>
    </w:lvl>
    <w:lvl w:ilvl="1" w:tplc="FBD49B2A">
      <w:start w:val="1"/>
      <w:numFmt w:val="bullet"/>
      <w:lvlText w:val="•"/>
      <w:lvlJc w:val="left"/>
      <w:pPr>
        <w:ind w:left="1696" w:hanging="720"/>
      </w:pPr>
      <w:rPr>
        <w:rFonts w:hint="default"/>
      </w:rPr>
    </w:lvl>
    <w:lvl w:ilvl="2" w:tplc="141A7776">
      <w:start w:val="1"/>
      <w:numFmt w:val="bullet"/>
      <w:lvlText w:val="•"/>
      <w:lvlJc w:val="left"/>
      <w:pPr>
        <w:ind w:left="2572" w:hanging="720"/>
      </w:pPr>
      <w:rPr>
        <w:rFonts w:hint="default"/>
      </w:rPr>
    </w:lvl>
    <w:lvl w:ilvl="3" w:tplc="43FC82F8">
      <w:start w:val="1"/>
      <w:numFmt w:val="bullet"/>
      <w:lvlText w:val="•"/>
      <w:lvlJc w:val="left"/>
      <w:pPr>
        <w:ind w:left="3448" w:hanging="720"/>
      </w:pPr>
      <w:rPr>
        <w:rFonts w:hint="default"/>
      </w:rPr>
    </w:lvl>
    <w:lvl w:ilvl="4" w:tplc="DEA6476C">
      <w:start w:val="1"/>
      <w:numFmt w:val="bullet"/>
      <w:lvlText w:val="•"/>
      <w:lvlJc w:val="left"/>
      <w:pPr>
        <w:ind w:left="4324" w:hanging="720"/>
      </w:pPr>
      <w:rPr>
        <w:rFonts w:hint="default"/>
      </w:rPr>
    </w:lvl>
    <w:lvl w:ilvl="5" w:tplc="487AC018">
      <w:start w:val="1"/>
      <w:numFmt w:val="bullet"/>
      <w:lvlText w:val="•"/>
      <w:lvlJc w:val="left"/>
      <w:pPr>
        <w:ind w:left="5200" w:hanging="720"/>
      </w:pPr>
      <w:rPr>
        <w:rFonts w:hint="default"/>
      </w:rPr>
    </w:lvl>
    <w:lvl w:ilvl="6" w:tplc="EBA0DE34">
      <w:start w:val="1"/>
      <w:numFmt w:val="bullet"/>
      <w:lvlText w:val="•"/>
      <w:lvlJc w:val="left"/>
      <w:pPr>
        <w:ind w:left="6076" w:hanging="720"/>
      </w:pPr>
      <w:rPr>
        <w:rFonts w:hint="default"/>
      </w:rPr>
    </w:lvl>
    <w:lvl w:ilvl="7" w:tplc="F2C40176">
      <w:start w:val="1"/>
      <w:numFmt w:val="bullet"/>
      <w:lvlText w:val="•"/>
      <w:lvlJc w:val="left"/>
      <w:pPr>
        <w:ind w:left="6952" w:hanging="720"/>
      </w:pPr>
      <w:rPr>
        <w:rFonts w:hint="default"/>
      </w:rPr>
    </w:lvl>
    <w:lvl w:ilvl="8" w:tplc="55A87142">
      <w:start w:val="1"/>
      <w:numFmt w:val="bullet"/>
      <w:lvlText w:val="•"/>
      <w:lvlJc w:val="left"/>
      <w:pPr>
        <w:ind w:left="7828" w:hanging="720"/>
      </w:pPr>
      <w:rPr>
        <w:rFonts w:hint="default"/>
      </w:rPr>
    </w:lvl>
  </w:abstractNum>
  <w:abstractNum w:abstractNumId="11" w15:restartNumberingAfterBreak="0">
    <w:nsid w:val="22321A58"/>
    <w:multiLevelType w:val="hybridMultilevel"/>
    <w:tmpl w:val="E15AD996"/>
    <w:lvl w:ilvl="0" w:tplc="86784A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C175EF"/>
    <w:multiLevelType w:val="hybridMultilevel"/>
    <w:tmpl w:val="411E798A"/>
    <w:lvl w:ilvl="0" w:tplc="3C3AE302">
      <w:start w:val="1"/>
      <w:numFmt w:val="upperRoman"/>
      <w:pStyle w:val="CROutline1"/>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E10427"/>
    <w:multiLevelType w:val="multilevel"/>
    <w:tmpl w:val="755CC024"/>
    <w:lvl w:ilvl="0">
      <w:start w:val="1"/>
      <w:numFmt w:val="upperRoman"/>
      <w:lvlText w:val="%1."/>
      <w:lvlJc w:val="left"/>
      <w:pPr>
        <w:tabs>
          <w:tab w:val="num" w:pos="1152"/>
        </w:tabs>
        <w:ind w:left="1152" w:hanging="7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pStyle w:val="CROutline2"/>
      <w:lvlText w:val="%2."/>
      <w:lvlJc w:val="left"/>
      <w:pPr>
        <w:tabs>
          <w:tab w:val="num" w:pos="1152"/>
        </w:tabs>
        <w:ind w:left="1872" w:hanging="720"/>
      </w:pPr>
      <w:rPr>
        <w:rFonts w:hint="default"/>
      </w:rPr>
    </w:lvl>
    <w:lvl w:ilvl="2">
      <w:start w:val="1"/>
      <w:numFmt w:val="decimal"/>
      <w:pStyle w:val="CROutline3"/>
      <w:lvlText w:val="%3."/>
      <w:lvlJc w:val="left"/>
      <w:pPr>
        <w:tabs>
          <w:tab w:val="num" w:pos="1152"/>
        </w:tabs>
        <w:ind w:left="2592" w:hanging="720"/>
      </w:pPr>
      <w:rPr>
        <w:rFonts w:hint="default"/>
      </w:rPr>
    </w:lvl>
    <w:lvl w:ilvl="3">
      <w:start w:val="1"/>
      <w:numFmt w:val="lowerLetter"/>
      <w:pStyle w:val="CROutline4"/>
      <w:lvlText w:val="%4."/>
      <w:lvlJc w:val="left"/>
      <w:pPr>
        <w:tabs>
          <w:tab w:val="num" w:pos="1152"/>
        </w:tabs>
        <w:ind w:left="3312" w:hanging="720"/>
      </w:pPr>
      <w:rPr>
        <w:rFonts w:hint="default"/>
      </w:rPr>
    </w:lvl>
    <w:lvl w:ilvl="4">
      <w:start w:val="1"/>
      <w:numFmt w:val="decimal"/>
      <w:pStyle w:val="CROutline5"/>
      <w:lvlText w:val="(%5)"/>
      <w:lvlJc w:val="left"/>
      <w:pPr>
        <w:tabs>
          <w:tab w:val="num" w:pos="1152"/>
        </w:tabs>
        <w:ind w:left="4032" w:hanging="720"/>
      </w:pPr>
      <w:rPr>
        <w:rFonts w:hint="default"/>
      </w:rPr>
    </w:lvl>
    <w:lvl w:ilvl="5">
      <w:start w:val="1"/>
      <w:numFmt w:val="lowerLetter"/>
      <w:pStyle w:val="CROutline6"/>
      <w:lvlText w:val="(%6)"/>
      <w:lvlJc w:val="left"/>
      <w:pPr>
        <w:tabs>
          <w:tab w:val="num" w:pos="1152"/>
        </w:tabs>
        <w:ind w:left="4752" w:hanging="720"/>
      </w:pPr>
      <w:rPr>
        <w:rFonts w:hint="default"/>
      </w:rPr>
    </w:lvl>
    <w:lvl w:ilvl="6">
      <w:start w:val="1"/>
      <w:numFmt w:val="lowerRoman"/>
      <w:pStyle w:val="CROutline7"/>
      <w:lvlText w:val="%7)"/>
      <w:lvlJc w:val="left"/>
      <w:pPr>
        <w:tabs>
          <w:tab w:val="num" w:pos="1152"/>
        </w:tabs>
        <w:ind w:left="5472" w:hanging="720"/>
      </w:pPr>
      <w:rPr>
        <w:rFonts w:hint="default"/>
      </w:rPr>
    </w:lvl>
    <w:lvl w:ilvl="7">
      <w:start w:val="1"/>
      <w:numFmt w:val="lowerLetter"/>
      <w:pStyle w:val="CROutline8"/>
      <w:lvlText w:val="%8)"/>
      <w:lvlJc w:val="left"/>
      <w:pPr>
        <w:tabs>
          <w:tab w:val="num" w:pos="1152"/>
        </w:tabs>
        <w:ind w:left="6192" w:hanging="720"/>
      </w:pPr>
      <w:rPr>
        <w:rFonts w:hint="default"/>
      </w:rPr>
    </w:lvl>
    <w:lvl w:ilvl="8">
      <w:start w:val="1"/>
      <w:numFmt w:val="decimal"/>
      <w:pStyle w:val="CROutline9"/>
      <w:lvlText w:val="%9)"/>
      <w:lvlJc w:val="left"/>
      <w:pPr>
        <w:tabs>
          <w:tab w:val="num" w:pos="1152"/>
        </w:tabs>
        <w:ind w:left="6912" w:hanging="720"/>
      </w:pPr>
      <w:rPr>
        <w:rFonts w:hint="default"/>
      </w:rPr>
    </w:lvl>
  </w:abstractNum>
  <w:abstractNum w:abstractNumId="14" w15:restartNumberingAfterBreak="0">
    <w:nsid w:val="5CDC3D31"/>
    <w:multiLevelType w:val="hybridMultilevel"/>
    <w:tmpl w:val="F5DA5D82"/>
    <w:lvl w:ilvl="0" w:tplc="DA78E0D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ED97786"/>
    <w:multiLevelType w:val="hybridMultilevel"/>
    <w:tmpl w:val="62D614E2"/>
    <w:lvl w:ilvl="0" w:tplc="9582FF2C">
      <w:start w:val="1"/>
      <w:numFmt w:val="decimal"/>
      <w:lvlText w:val="%1."/>
      <w:lvlJc w:val="left"/>
      <w:pPr>
        <w:ind w:left="360" w:hanging="360"/>
      </w:pPr>
      <w:rPr>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7BE43BC"/>
    <w:multiLevelType w:val="hybridMultilevel"/>
    <w:tmpl w:val="8CBC775E"/>
    <w:lvl w:ilvl="0" w:tplc="CB147158">
      <w:start w:val="1"/>
      <w:numFmt w:val="decimal"/>
      <w:lvlText w:val="%1."/>
      <w:lvlJc w:val="left"/>
      <w:pPr>
        <w:ind w:left="820" w:hanging="720"/>
      </w:pPr>
      <w:rPr>
        <w:rFonts w:ascii="Times New Roman" w:eastAsia="Times New Roman" w:hAnsi="Times New Roman" w:hint="default"/>
        <w:sz w:val="24"/>
        <w:szCs w:val="24"/>
      </w:rPr>
    </w:lvl>
    <w:lvl w:ilvl="1" w:tplc="B3208934">
      <w:start w:val="1"/>
      <w:numFmt w:val="lowerLetter"/>
      <w:lvlText w:val="(%2)"/>
      <w:lvlJc w:val="left"/>
      <w:pPr>
        <w:ind w:left="820" w:hanging="324"/>
      </w:pPr>
      <w:rPr>
        <w:rFonts w:ascii="Times New Roman" w:eastAsia="Times New Roman" w:hAnsi="Times New Roman" w:hint="default"/>
        <w:spacing w:val="-1"/>
        <w:sz w:val="24"/>
        <w:szCs w:val="24"/>
      </w:rPr>
    </w:lvl>
    <w:lvl w:ilvl="2" w:tplc="1F240D50">
      <w:start w:val="1"/>
      <w:numFmt w:val="bullet"/>
      <w:lvlText w:val="•"/>
      <w:lvlJc w:val="left"/>
      <w:pPr>
        <w:ind w:left="1811" w:hanging="324"/>
      </w:pPr>
      <w:rPr>
        <w:rFonts w:hint="default"/>
      </w:rPr>
    </w:lvl>
    <w:lvl w:ilvl="3" w:tplc="2CFC4070">
      <w:start w:val="1"/>
      <w:numFmt w:val="bullet"/>
      <w:lvlText w:val="•"/>
      <w:lvlJc w:val="left"/>
      <w:pPr>
        <w:ind w:left="2782" w:hanging="324"/>
      </w:pPr>
      <w:rPr>
        <w:rFonts w:hint="default"/>
      </w:rPr>
    </w:lvl>
    <w:lvl w:ilvl="4" w:tplc="7632D852">
      <w:start w:val="1"/>
      <w:numFmt w:val="bullet"/>
      <w:lvlText w:val="•"/>
      <w:lvlJc w:val="left"/>
      <w:pPr>
        <w:ind w:left="3753" w:hanging="324"/>
      </w:pPr>
      <w:rPr>
        <w:rFonts w:hint="default"/>
      </w:rPr>
    </w:lvl>
    <w:lvl w:ilvl="5" w:tplc="6388B05E">
      <w:start w:val="1"/>
      <w:numFmt w:val="bullet"/>
      <w:lvlText w:val="•"/>
      <w:lvlJc w:val="left"/>
      <w:pPr>
        <w:ind w:left="4724" w:hanging="324"/>
      </w:pPr>
      <w:rPr>
        <w:rFonts w:hint="default"/>
      </w:rPr>
    </w:lvl>
    <w:lvl w:ilvl="6" w:tplc="8618EEF6">
      <w:start w:val="1"/>
      <w:numFmt w:val="bullet"/>
      <w:lvlText w:val="•"/>
      <w:lvlJc w:val="left"/>
      <w:pPr>
        <w:ind w:left="5695" w:hanging="324"/>
      </w:pPr>
      <w:rPr>
        <w:rFonts w:hint="default"/>
      </w:rPr>
    </w:lvl>
    <w:lvl w:ilvl="7" w:tplc="01546CBC">
      <w:start w:val="1"/>
      <w:numFmt w:val="bullet"/>
      <w:lvlText w:val="•"/>
      <w:lvlJc w:val="left"/>
      <w:pPr>
        <w:ind w:left="6666" w:hanging="324"/>
      </w:pPr>
      <w:rPr>
        <w:rFonts w:hint="default"/>
      </w:rPr>
    </w:lvl>
    <w:lvl w:ilvl="8" w:tplc="FEE2ED3A">
      <w:start w:val="1"/>
      <w:numFmt w:val="bullet"/>
      <w:lvlText w:val="•"/>
      <w:lvlJc w:val="left"/>
      <w:pPr>
        <w:ind w:left="7637" w:hanging="324"/>
      </w:pPr>
      <w:rPr>
        <w:rFonts w:hint="default"/>
      </w:rPr>
    </w:lvl>
  </w:abstractNum>
  <w:abstractNum w:abstractNumId="17" w15:restartNumberingAfterBreak="0">
    <w:nsid w:val="72FB4C03"/>
    <w:multiLevelType w:val="hybridMultilevel"/>
    <w:tmpl w:val="42BA4D24"/>
    <w:lvl w:ilvl="0" w:tplc="C9FA303A">
      <w:start w:val="1"/>
      <w:numFmt w:val="decimal"/>
      <w:pStyle w:val="FoFs"/>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2"/>
  </w:num>
  <w:num w:numId="3">
    <w:abstractNumId w:val="14"/>
  </w:num>
  <w:num w:numId="4">
    <w:abstractNumId w:val="11"/>
  </w:num>
  <w:num w:numId="5">
    <w:abstractNumId w:val="17"/>
  </w:num>
  <w:num w:numId="6">
    <w:abstractNumId w:val="17"/>
    <w:lvlOverride w:ilvl="0">
      <w:startOverride w:val="1"/>
    </w:lvlOverride>
  </w:num>
  <w:num w:numId="7">
    <w:abstractNumId w:val="17"/>
    <w:lvlOverride w:ilvl="0">
      <w:startOverride w:val="1"/>
    </w:lvlOverride>
  </w:num>
  <w:num w:numId="8">
    <w:abstractNumId w:val="15"/>
  </w:num>
  <w:num w:numId="9">
    <w:abstractNumId w:val="17"/>
    <w:lvlOverride w:ilvl="0">
      <w:startOverride w:val="1"/>
    </w:lvlOverride>
  </w:num>
  <w:num w:numId="10">
    <w:abstractNumId w:val="16"/>
  </w:num>
  <w:num w:numId="11">
    <w:abstractNumId w:val="10"/>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Formatting/>
  <w:defaultTabStop w:val="720"/>
  <w:characterSpacingControl w:val="doNotCompress"/>
  <w:hdrShapeDefaults>
    <o:shapedefaults v:ext="edit" spidmax="2560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A6B"/>
    <w:rsid w:val="00001B80"/>
    <w:rsid w:val="00007213"/>
    <w:rsid w:val="00012C3B"/>
    <w:rsid w:val="00012D7B"/>
    <w:rsid w:val="00025339"/>
    <w:rsid w:val="0002568A"/>
    <w:rsid w:val="00081780"/>
    <w:rsid w:val="000832B2"/>
    <w:rsid w:val="00093A65"/>
    <w:rsid w:val="000A716C"/>
    <w:rsid w:val="00111D9B"/>
    <w:rsid w:val="0012137E"/>
    <w:rsid w:val="001363B8"/>
    <w:rsid w:val="001412CA"/>
    <w:rsid w:val="00160997"/>
    <w:rsid w:val="00173209"/>
    <w:rsid w:val="001824CC"/>
    <w:rsid w:val="001A5053"/>
    <w:rsid w:val="001C30B1"/>
    <w:rsid w:val="00220149"/>
    <w:rsid w:val="00236D26"/>
    <w:rsid w:val="00241168"/>
    <w:rsid w:val="0025042C"/>
    <w:rsid w:val="002600AF"/>
    <w:rsid w:val="002851B4"/>
    <w:rsid w:val="00290946"/>
    <w:rsid w:val="00292ADE"/>
    <w:rsid w:val="00294E07"/>
    <w:rsid w:val="00297A2B"/>
    <w:rsid w:val="002B1100"/>
    <w:rsid w:val="002C49B5"/>
    <w:rsid w:val="002D6081"/>
    <w:rsid w:val="002F474D"/>
    <w:rsid w:val="00323E4D"/>
    <w:rsid w:val="00335263"/>
    <w:rsid w:val="0036188E"/>
    <w:rsid w:val="00372F79"/>
    <w:rsid w:val="00386B6A"/>
    <w:rsid w:val="003A1034"/>
    <w:rsid w:val="003D0E08"/>
    <w:rsid w:val="003E0988"/>
    <w:rsid w:val="003E3C99"/>
    <w:rsid w:val="003F2953"/>
    <w:rsid w:val="00402527"/>
    <w:rsid w:val="00413E4A"/>
    <w:rsid w:val="00433C1C"/>
    <w:rsid w:val="00451340"/>
    <w:rsid w:val="00474A82"/>
    <w:rsid w:val="004C1B5B"/>
    <w:rsid w:val="004D57DD"/>
    <w:rsid w:val="004E65F2"/>
    <w:rsid w:val="004E78BB"/>
    <w:rsid w:val="004F01BE"/>
    <w:rsid w:val="0058068A"/>
    <w:rsid w:val="00583BF1"/>
    <w:rsid w:val="005A6686"/>
    <w:rsid w:val="005B7810"/>
    <w:rsid w:val="005E0344"/>
    <w:rsid w:val="005F68DA"/>
    <w:rsid w:val="006079BB"/>
    <w:rsid w:val="00611BCB"/>
    <w:rsid w:val="006172F8"/>
    <w:rsid w:val="006303B9"/>
    <w:rsid w:val="0063189D"/>
    <w:rsid w:val="006327B2"/>
    <w:rsid w:val="006568EE"/>
    <w:rsid w:val="006738F3"/>
    <w:rsid w:val="00680787"/>
    <w:rsid w:val="006D33B0"/>
    <w:rsid w:val="006F5BCE"/>
    <w:rsid w:val="0071193C"/>
    <w:rsid w:val="0072587F"/>
    <w:rsid w:val="00770C84"/>
    <w:rsid w:val="0077206A"/>
    <w:rsid w:val="00785ED0"/>
    <w:rsid w:val="007915EA"/>
    <w:rsid w:val="007A48EF"/>
    <w:rsid w:val="007E4B6A"/>
    <w:rsid w:val="007F11A0"/>
    <w:rsid w:val="00817139"/>
    <w:rsid w:val="00825196"/>
    <w:rsid w:val="0085120D"/>
    <w:rsid w:val="008575F0"/>
    <w:rsid w:val="00861A68"/>
    <w:rsid w:val="00870020"/>
    <w:rsid w:val="00882B06"/>
    <w:rsid w:val="00890FBB"/>
    <w:rsid w:val="0089659F"/>
    <w:rsid w:val="008A0C80"/>
    <w:rsid w:val="008E6556"/>
    <w:rsid w:val="0091230A"/>
    <w:rsid w:val="00966391"/>
    <w:rsid w:val="009848F7"/>
    <w:rsid w:val="009A07FE"/>
    <w:rsid w:val="009A42D0"/>
    <w:rsid w:val="009B055E"/>
    <w:rsid w:val="009B3FA2"/>
    <w:rsid w:val="009B73FC"/>
    <w:rsid w:val="009D184C"/>
    <w:rsid w:val="009D7AA3"/>
    <w:rsid w:val="009F2A6B"/>
    <w:rsid w:val="009F2CA5"/>
    <w:rsid w:val="009F3B71"/>
    <w:rsid w:val="00A67FB3"/>
    <w:rsid w:val="00A77F39"/>
    <w:rsid w:val="00A84921"/>
    <w:rsid w:val="00A85E00"/>
    <w:rsid w:val="00A95321"/>
    <w:rsid w:val="00A963B5"/>
    <w:rsid w:val="00AB6999"/>
    <w:rsid w:val="00B0383A"/>
    <w:rsid w:val="00B17163"/>
    <w:rsid w:val="00B30FAA"/>
    <w:rsid w:val="00B7757E"/>
    <w:rsid w:val="00B7767F"/>
    <w:rsid w:val="00BA22AD"/>
    <w:rsid w:val="00BF3A71"/>
    <w:rsid w:val="00C24DBA"/>
    <w:rsid w:val="00C27F7F"/>
    <w:rsid w:val="00C759CA"/>
    <w:rsid w:val="00C7714F"/>
    <w:rsid w:val="00C84D5A"/>
    <w:rsid w:val="00C84E5A"/>
    <w:rsid w:val="00C8539E"/>
    <w:rsid w:val="00CB4D7A"/>
    <w:rsid w:val="00CB5AFA"/>
    <w:rsid w:val="00CF4AA9"/>
    <w:rsid w:val="00D64D55"/>
    <w:rsid w:val="00D779C2"/>
    <w:rsid w:val="00D90A4A"/>
    <w:rsid w:val="00DC018C"/>
    <w:rsid w:val="00DF1A9A"/>
    <w:rsid w:val="00DF6A15"/>
    <w:rsid w:val="00E05D37"/>
    <w:rsid w:val="00E21ADA"/>
    <w:rsid w:val="00E36ACF"/>
    <w:rsid w:val="00E7058F"/>
    <w:rsid w:val="00E9547D"/>
    <w:rsid w:val="00EA7703"/>
    <w:rsid w:val="00EB5DB9"/>
    <w:rsid w:val="00EE2006"/>
    <w:rsid w:val="00EE76E8"/>
    <w:rsid w:val="00EF6450"/>
    <w:rsid w:val="00F22A16"/>
    <w:rsid w:val="00F44790"/>
    <w:rsid w:val="00F64D69"/>
    <w:rsid w:val="00F80E54"/>
    <w:rsid w:val="00F8724A"/>
    <w:rsid w:val="00FB11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5601"/>
    <o:shapelayout v:ext="edit">
      <o:idmap v:ext="edit" data="1"/>
    </o:shapelayout>
  </w:shapeDefaults>
  <w:decimalSymbol w:val="."/>
  <w:listSeparator w:val=","/>
  <w14:docId w14:val="69708D3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en-US" w:eastAsia="en-US"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tabs>
        <w:tab w:val="left" w:pos="720"/>
      </w:tabs>
    </w:pPr>
  </w:style>
  <w:style w:type="paragraph" w:styleId="Heading1">
    <w:name w:val="heading 1"/>
    <w:basedOn w:val="Normal"/>
    <w:next w:val="Normal"/>
    <w:link w:val="Heading1Char"/>
    <w:uiPriority w:val="9"/>
    <w:qFormat/>
    <w:pPr>
      <w:keepNext/>
      <w:keepLines/>
      <w:spacing w:before="240"/>
      <w:jc w:val="center"/>
      <w:outlineLvl w:val="0"/>
    </w:pPr>
    <w:rPr>
      <w:rFonts w:eastAsiaTheme="majorEastAsia" w:cstheme="majorBidi"/>
      <w:b/>
      <w:szCs w:val="32"/>
    </w:rPr>
  </w:style>
  <w:style w:type="paragraph" w:styleId="Heading2">
    <w:name w:val="heading 2"/>
    <w:basedOn w:val="Normal"/>
    <w:next w:val="Normal"/>
    <w:link w:val="Heading2Char"/>
    <w:uiPriority w:val="9"/>
    <w:semiHidden/>
    <w:unhideWhenUsed/>
    <w:qFormat/>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pPr>
      <w:spacing w:after="120"/>
      <w:ind w:firstLine="720"/>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nhideWhenUsed/>
    <w:rPr>
      <w:vertAlign w:val="superscript"/>
    </w:r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customStyle="1" w:styleId="Heading1Char">
    <w:name w:val="Heading 1 Char"/>
    <w:basedOn w:val="DefaultParagraphFont"/>
    <w:link w:val="Heading1"/>
    <w:uiPriority w:val="9"/>
    <w:rPr>
      <w:rFonts w:eastAsiaTheme="majorEastAsia" w:cstheme="majorBidi"/>
      <w:b/>
      <w:szCs w:val="32"/>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color w:val="1F3763" w:themeColor="accent1" w:themeShade="7F"/>
    </w:rPr>
  </w:style>
  <w:style w:type="paragraph" w:styleId="TOC1">
    <w:name w:val="toc 1"/>
    <w:basedOn w:val="Normal"/>
    <w:next w:val="Normal"/>
    <w:uiPriority w:val="39"/>
    <w:unhideWhenUsed/>
    <w:pPr>
      <w:tabs>
        <w:tab w:val="right" w:leader="dot" w:pos="9346"/>
      </w:tabs>
      <w:spacing w:after="120"/>
      <w:ind w:left="720" w:right="720" w:hanging="720"/>
      <w:jc w:val="left"/>
    </w:pPr>
  </w:style>
  <w:style w:type="paragraph" w:styleId="TOC2">
    <w:name w:val="toc 2"/>
    <w:basedOn w:val="Normal"/>
    <w:next w:val="Normal"/>
    <w:uiPriority w:val="39"/>
    <w:unhideWhenUsed/>
    <w:pPr>
      <w:tabs>
        <w:tab w:val="right" w:leader="dot" w:pos="9350"/>
      </w:tabs>
      <w:spacing w:after="120"/>
      <w:ind w:left="1440" w:right="720" w:hanging="720"/>
      <w:jc w:val="left"/>
    </w:pPr>
  </w:style>
  <w:style w:type="paragraph" w:styleId="TOC3">
    <w:name w:val="toc 3"/>
    <w:basedOn w:val="Normal"/>
    <w:next w:val="Normal"/>
    <w:uiPriority w:val="39"/>
    <w:unhideWhenUsed/>
    <w:pPr>
      <w:tabs>
        <w:tab w:val="left" w:pos="2160"/>
        <w:tab w:val="right" w:leader="dot" w:pos="9350"/>
      </w:tabs>
      <w:ind w:left="2160" w:right="720" w:hanging="720"/>
      <w:jc w:val="left"/>
    </w:pPr>
  </w:style>
  <w:style w:type="paragraph" w:styleId="TOC4">
    <w:name w:val="toc 4"/>
    <w:basedOn w:val="Normal"/>
    <w:next w:val="Normal"/>
    <w:uiPriority w:val="39"/>
    <w:unhideWhenUsed/>
    <w:pPr>
      <w:tabs>
        <w:tab w:val="left" w:pos="2160"/>
        <w:tab w:val="right" w:leader="dot" w:pos="9350"/>
      </w:tabs>
      <w:ind w:left="2880" w:right="720" w:hanging="720"/>
    </w:pPr>
  </w:style>
  <w:style w:type="paragraph" w:styleId="TOC5">
    <w:name w:val="toc 5"/>
    <w:basedOn w:val="Normal"/>
    <w:next w:val="Normal"/>
    <w:uiPriority w:val="39"/>
    <w:unhideWhenUsed/>
    <w:pPr>
      <w:tabs>
        <w:tab w:val="left" w:pos="3600"/>
        <w:tab w:val="right" w:leader="dot" w:pos="9350"/>
      </w:tabs>
      <w:ind w:left="3600" w:right="720" w:hanging="720"/>
      <w:jc w:val="left"/>
    </w:pPr>
  </w:style>
  <w:style w:type="paragraph" w:styleId="TOC6">
    <w:name w:val="toc 6"/>
    <w:basedOn w:val="Normal"/>
    <w:next w:val="Normal"/>
    <w:uiPriority w:val="39"/>
    <w:unhideWhenUsed/>
    <w:pPr>
      <w:tabs>
        <w:tab w:val="left" w:pos="2160"/>
        <w:tab w:val="left" w:pos="4320"/>
        <w:tab w:val="right" w:leader="dot" w:pos="9350"/>
      </w:tabs>
      <w:ind w:left="4320" w:right="720" w:hanging="720"/>
      <w:jc w:val="left"/>
    </w:pPr>
  </w:style>
  <w:style w:type="paragraph" w:styleId="TOC7">
    <w:name w:val="toc 7"/>
    <w:basedOn w:val="Normal"/>
    <w:next w:val="Normal"/>
    <w:uiPriority w:val="39"/>
    <w:unhideWhenUsed/>
    <w:pPr>
      <w:tabs>
        <w:tab w:val="left" w:pos="2160"/>
        <w:tab w:val="left" w:pos="5760"/>
        <w:tab w:val="right" w:leader="dot" w:pos="9350"/>
      </w:tabs>
      <w:ind w:left="5040" w:right="720" w:hanging="720"/>
      <w:jc w:val="left"/>
    </w:pPr>
  </w:style>
  <w:style w:type="paragraph" w:styleId="TOC8">
    <w:name w:val="toc 8"/>
    <w:basedOn w:val="Normal"/>
    <w:next w:val="Normal"/>
    <w:uiPriority w:val="39"/>
    <w:unhideWhenUsed/>
    <w:pPr>
      <w:tabs>
        <w:tab w:val="left" w:pos="5760"/>
        <w:tab w:val="right" w:leader="dot" w:pos="9346"/>
      </w:tabs>
      <w:ind w:left="5760" w:right="720" w:hanging="720"/>
      <w:jc w:val="left"/>
    </w:pPr>
  </w:style>
  <w:style w:type="paragraph" w:styleId="TOC9">
    <w:name w:val="toc 9"/>
    <w:basedOn w:val="Normal"/>
    <w:next w:val="Normal"/>
    <w:uiPriority w:val="39"/>
    <w:unhideWhenUsed/>
    <w:pPr>
      <w:tabs>
        <w:tab w:val="left" w:pos="2880"/>
        <w:tab w:val="left" w:pos="6480"/>
        <w:tab w:val="right" w:leader="dot" w:pos="9350"/>
      </w:tabs>
      <w:ind w:left="6480" w:right="720" w:hanging="720"/>
      <w:jc w:val="left"/>
    </w:pPr>
  </w:style>
  <w:style w:type="paragraph" w:customStyle="1" w:styleId="CRQuestion">
    <w:name w:val="CR Question"/>
    <w:basedOn w:val="Normal"/>
    <w:next w:val="CRAnswer"/>
    <w:qFormat/>
    <w:pPr>
      <w:spacing w:line="480" w:lineRule="auto"/>
      <w:ind w:left="720" w:hanging="720"/>
    </w:pPr>
    <w:rPr>
      <w:rFonts w:ascii="Times New Roman Bold" w:hAnsi="Times New Roman Bold"/>
      <w:b/>
      <w:caps/>
    </w:rPr>
  </w:style>
  <w:style w:type="paragraph" w:customStyle="1" w:styleId="CRAnswer">
    <w:name w:val="CR Answer"/>
    <w:basedOn w:val="Normal"/>
    <w:next w:val="Normal"/>
    <w:qFormat/>
    <w:pPr>
      <w:spacing w:line="480" w:lineRule="auto"/>
      <w:ind w:left="720" w:hanging="720"/>
    </w:pPr>
  </w:style>
  <w:style w:type="paragraph" w:customStyle="1" w:styleId="CROutline1">
    <w:name w:val="CR Outline1"/>
    <w:basedOn w:val="BodyText"/>
    <w:next w:val="Normal"/>
    <w:qFormat/>
    <w:pPr>
      <w:keepNext/>
      <w:numPr>
        <w:numId w:val="2"/>
      </w:numPr>
      <w:tabs>
        <w:tab w:val="clear" w:pos="720"/>
      </w:tabs>
      <w:spacing w:after="0"/>
      <w:ind w:left="360"/>
      <w:jc w:val="center"/>
    </w:pPr>
    <w:rPr>
      <w:b/>
      <w:bCs/>
      <w:snapToGrid w:val="0"/>
      <w:lang w:eastAsia="zh-TW"/>
    </w:rPr>
  </w:style>
  <w:style w:type="paragraph" w:customStyle="1" w:styleId="CROutline2">
    <w:name w:val="CR Outline2"/>
    <w:next w:val="Normal"/>
    <w:qFormat/>
    <w:pPr>
      <w:numPr>
        <w:ilvl w:val="1"/>
        <w:numId w:val="1"/>
      </w:numPr>
      <w:spacing w:after="240"/>
      <w:outlineLvl w:val="1"/>
    </w:pPr>
    <w:rPr>
      <w:rFonts w:eastAsia="Times New Roman"/>
      <w:b/>
    </w:rPr>
  </w:style>
  <w:style w:type="paragraph" w:customStyle="1" w:styleId="CROutline3">
    <w:name w:val="CR Outline3"/>
    <w:next w:val="Normal"/>
    <w:pPr>
      <w:numPr>
        <w:ilvl w:val="2"/>
        <w:numId w:val="1"/>
      </w:numPr>
      <w:tabs>
        <w:tab w:val="left" w:pos="1440"/>
      </w:tabs>
      <w:spacing w:after="240"/>
      <w:outlineLvl w:val="2"/>
    </w:pPr>
    <w:rPr>
      <w:rFonts w:eastAsia="Times New Roman"/>
      <w:b/>
    </w:rPr>
  </w:style>
  <w:style w:type="paragraph" w:customStyle="1" w:styleId="CROutline4">
    <w:name w:val="CR Outline4"/>
    <w:next w:val="Normal"/>
    <w:pPr>
      <w:numPr>
        <w:ilvl w:val="3"/>
        <w:numId w:val="1"/>
      </w:numPr>
      <w:tabs>
        <w:tab w:val="left" w:pos="2160"/>
      </w:tabs>
      <w:spacing w:after="240"/>
      <w:outlineLvl w:val="3"/>
    </w:pPr>
    <w:rPr>
      <w:rFonts w:eastAsia="Times New Roman"/>
      <w:b/>
    </w:rPr>
  </w:style>
  <w:style w:type="paragraph" w:customStyle="1" w:styleId="CROutline5">
    <w:name w:val="CR Outline5"/>
    <w:next w:val="Normal"/>
    <w:pPr>
      <w:numPr>
        <w:ilvl w:val="4"/>
        <w:numId w:val="1"/>
      </w:numPr>
      <w:spacing w:after="240"/>
      <w:outlineLvl w:val="4"/>
    </w:pPr>
    <w:rPr>
      <w:rFonts w:eastAsia="Times New Roman"/>
      <w:b/>
    </w:rPr>
  </w:style>
  <w:style w:type="paragraph" w:customStyle="1" w:styleId="CROutline6">
    <w:name w:val="CR Outline6"/>
    <w:next w:val="Normal"/>
    <w:pPr>
      <w:numPr>
        <w:ilvl w:val="5"/>
        <w:numId w:val="1"/>
      </w:numPr>
      <w:spacing w:after="240"/>
      <w:outlineLvl w:val="5"/>
    </w:pPr>
    <w:rPr>
      <w:rFonts w:eastAsia="Times New Roman"/>
      <w:b/>
    </w:rPr>
  </w:style>
  <w:style w:type="paragraph" w:customStyle="1" w:styleId="CROutline7">
    <w:name w:val="CR Outline7"/>
    <w:next w:val="Normal"/>
    <w:pPr>
      <w:numPr>
        <w:ilvl w:val="6"/>
        <w:numId w:val="1"/>
      </w:numPr>
      <w:spacing w:after="240"/>
      <w:outlineLvl w:val="6"/>
    </w:pPr>
    <w:rPr>
      <w:rFonts w:eastAsia="Times New Roman"/>
      <w:b/>
    </w:rPr>
  </w:style>
  <w:style w:type="paragraph" w:customStyle="1" w:styleId="CROutline8">
    <w:name w:val="CR Outline8"/>
    <w:next w:val="Normal"/>
    <w:pPr>
      <w:numPr>
        <w:ilvl w:val="7"/>
        <w:numId w:val="1"/>
      </w:numPr>
      <w:spacing w:after="240"/>
      <w:outlineLvl w:val="7"/>
    </w:pPr>
    <w:rPr>
      <w:rFonts w:eastAsia="Times New Roman"/>
      <w:b/>
    </w:rPr>
  </w:style>
  <w:style w:type="paragraph" w:customStyle="1" w:styleId="CROutline9">
    <w:name w:val="CR Outline9"/>
    <w:next w:val="Normal"/>
    <w:pPr>
      <w:numPr>
        <w:ilvl w:val="8"/>
        <w:numId w:val="1"/>
      </w:numPr>
      <w:spacing w:after="240"/>
      <w:outlineLvl w:val="8"/>
    </w:pPr>
    <w:rPr>
      <w:rFonts w:eastAsia="Times New Roman"/>
      <w:b/>
    </w:rPr>
  </w:style>
  <w:style w:type="paragraph" w:styleId="BodyText">
    <w:name w:val="Body Text"/>
    <w:basedOn w:val="Normal"/>
    <w:link w:val="BodyTextChar"/>
    <w:uiPriority w:val="1"/>
    <w:qFormat/>
    <w:pPr>
      <w:spacing w:after="120" w:line="360" w:lineRule="auto"/>
    </w:pPr>
    <w:rPr>
      <w:rFonts w:eastAsia="SimSun"/>
      <w:lang w:eastAsia="zh-CN"/>
    </w:rPr>
  </w:style>
  <w:style w:type="character" w:customStyle="1" w:styleId="BodyTextChar">
    <w:name w:val="Body Text Char"/>
    <w:basedOn w:val="DefaultParagraphFont"/>
    <w:link w:val="BodyText"/>
    <w:uiPriority w:val="1"/>
    <w:rPr>
      <w:rFonts w:eastAsia="SimSun"/>
      <w:lang w:eastAsia="zh-CN"/>
    </w:rPr>
  </w:style>
  <w:style w:type="character" w:styleId="Strong">
    <w:name w:val="Strong"/>
    <w:basedOn w:val="DefaultParagraphFont"/>
    <w:uiPriority w:val="22"/>
    <w:rPr>
      <w:b/>
      <w:bCs/>
    </w:rPr>
  </w:style>
  <w:style w:type="paragraph" w:styleId="Quote">
    <w:name w:val="Quote"/>
    <w:basedOn w:val="Normal"/>
    <w:next w:val="Normal"/>
    <w:link w:val="QuoteChar"/>
    <w:uiPriority w:val="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IntenseQuote">
    <w:name w:val="Intense Quote"/>
    <w:basedOn w:val="Normal"/>
    <w:next w:val="Normal"/>
    <w:link w:val="IntenseQuoteChar"/>
    <w:uiPriority w:val="3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Pr>
      <w:i/>
      <w:iCs/>
      <w:color w:val="4472C4" w:themeColor="accent1"/>
    </w:rPr>
  </w:style>
  <w:style w:type="character" w:styleId="IntenseReference">
    <w:name w:val="Intense Reference"/>
    <w:basedOn w:val="DefaultParagraphFont"/>
    <w:uiPriority w:val="32"/>
    <w:rPr>
      <w:b/>
      <w:bCs/>
      <w:smallCaps/>
      <w:color w:val="4472C4" w:themeColor="accent1"/>
      <w:spacing w:val="5"/>
    </w:rPr>
  </w:style>
  <w:style w:type="paragraph" w:styleId="EnvelopeAddress">
    <w:name w:val="envelope address"/>
    <w:basedOn w:val="Normal"/>
    <w:uiPriority w:val="99"/>
    <w:semiHidden/>
    <w:unhideWhenUsed/>
    <w:pPr>
      <w:framePr w:w="7920" w:h="1980" w:hRule="exact" w:hSpace="180" w:wrap="auto" w:hAnchor="page" w:xAlign="center" w:yAlign="bottom"/>
      <w:ind w:left="2880"/>
    </w:pPr>
    <w:rPr>
      <w:rFonts w:ascii="Arial" w:eastAsiaTheme="majorEastAsia" w:hAnsi="Arial" w:cstheme="majorBidi"/>
    </w:rPr>
  </w:style>
  <w:style w:type="paragraph" w:styleId="Footer">
    <w:name w:val="footer"/>
    <w:basedOn w:val="Normal"/>
    <w:link w:val="FooterChar"/>
    <w:uiPriority w:val="99"/>
    <w:unhideWhenUsed/>
    <w:pPr>
      <w:tabs>
        <w:tab w:val="clear" w:pos="720"/>
        <w:tab w:val="center" w:pos="4680"/>
        <w:tab w:val="right" w:pos="9360"/>
      </w:tabs>
    </w:pPr>
  </w:style>
  <w:style w:type="character" w:customStyle="1" w:styleId="FooterChar">
    <w:name w:val="Footer Char"/>
    <w:basedOn w:val="DefaultParagraphFont"/>
    <w:link w:val="Footer"/>
    <w:uiPriority w:val="99"/>
  </w:style>
  <w:style w:type="character" w:customStyle="1" w:styleId="StyleBold">
    <w:name w:val="Style Bold"/>
    <w:basedOn w:val="DefaultParagraphFont"/>
    <w:semiHidden/>
    <w:rPr>
      <w:b/>
      <w:bCs/>
      <w:caps/>
    </w:rPr>
  </w:style>
  <w:style w:type="paragraph" w:styleId="Header">
    <w:name w:val="header"/>
    <w:basedOn w:val="Normal"/>
    <w:link w:val="HeaderChar"/>
    <w:uiPriority w:val="99"/>
    <w:unhideWhenUsed/>
    <w:pPr>
      <w:tabs>
        <w:tab w:val="clear" w:pos="720"/>
        <w:tab w:val="center" w:pos="4680"/>
        <w:tab w:val="right" w:pos="9360"/>
      </w:tabs>
    </w:pPr>
  </w:style>
  <w:style w:type="character" w:customStyle="1" w:styleId="HeaderChar">
    <w:name w:val="Header Char"/>
    <w:basedOn w:val="DefaultParagraphFont"/>
    <w:link w:val="Header"/>
    <w:uiPriority w:val="99"/>
  </w:style>
  <w:style w:type="paragraph" w:styleId="ListParagraph">
    <w:name w:val="List Paragraph"/>
    <w:basedOn w:val="Normal"/>
    <w:uiPriority w:val="34"/>
    <w:qFormat/>
    <w:pPr>
      <w:ind w:left="720"/>
      <w:contextualSpacing/>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FoFs">
    <w:name w:val="FoFs"/>
    <w:basedOn w:val="BodyText"/>
    <w:qFormat/>
    <w:pPr>
      <w:numPr>
        <w:numId w:val="5"/>
      </w:numPr>
      <w:ind w:right="130"/>
    </w:pPr>
    <w:rPr>
      <w:snapToGrid w:val="0"/>
    </w:rPr>
  </w:style>
  <w:style w:type="paragraph" w:customStyle="1" w:styleId="Normaldouble">
    <w:name w:val="Normal double"/>
    <w:basedOn w:val="Normal"/>
    <w:link w:val="NormaldoubleChar"/>
    <w:pPr>
      <w:tabs>
        <w:tab w:val="clear" w:pos="720"/>
      </w:tabs>
      <w:spacing w:line="480" w:lineRule="auto"/>
    </w:pPr>
    <w:rPr>
      <w:rFonts w:eastAsia="Times New Roman"/>
      <w:szCs w:val="20"/>
    </w:rPr>
  </w:style>
  <w:style w:type="character" w:customStyle="1" w:styleId="NormaldoubleChar">
    <w:name w:val="Normal double Char"/>
    <w:link w:val="Normaldouble"/>
    <w:rPr>
      <w:rFonts w:eastAsia="Times New Roman"/>
      <w:szCs w:val="20"/>
    </w:rPr>
  </w:style>
  <w:style w:type="paragraph" w:styleId="Revision">
    <w:name w:val="Revision"/>
    <w:hidden/>
    <w:uiPriority w:val="99"/>
    <w:semiHidden/>
    <w:pPr>
      <w:jc w:val="left"/>
    </w:pPr>
  </w:style>
  <w:style w:type="paragraph" w:customStyle="1" w:styleId="Default">
    <w:name w:val="Default"/>
    <w:pPr>
      <w:autoSpaceDE w:val="0"/>
      <w:autoSpaceDN w:val="0"/>
      <w:adjustRightInd w:val="0"/>
      <w:jc w:val="left"/>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9060224">
      <w:bodyDiv w:val="1"/>
      <w:marLeft w:val="0"/>
      <w:marRight w:val="0"/>
      <w:marTop w:val="0"/>
      <w:marBottom w:val="0"/>
      <w:divBdr>
        <w:top w:val="none" w:sz="0" w:space="0" w:color="auto"/>
        <w:left w:val="none" w:sz="0" w:space="0" w:color="auto"/>
        <w:bottom w:val="none" w:sz="0" w:space="0" w:color="auto"/>
        <w:right w:val="none" w:sz="0" w:space="0" w:color="auto"/>
      </w:divBdr>
    </w:div>
    <w:div w:id="1927574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0D014F-7749-45B1-AFD9-44B345D18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2044</Words>
  <Characters>11657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2023-05-03T15:09:00Z</dcterms:created>
  <dcterms:modified xsi:type="dcterms:W3CDTF">2023-05-03T16:45:00Z</dcterms:modified>
</cp:coreProperties>
</file>